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93C9" w14:textId="77777777" w:rsidR="00A04616" w:rsidRDefault="00C542FD">
      <w:r w:rsidRPr="00B37AC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88EB" w14:textId="28235580" w:rsidR="00084937" w:rsidRDefault="00084937" w:rsidP="005C511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 w:rsidRPr="00084937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Aufgaben der gwg</w:t>
      </w:r>
      <w:r w:rsidR="007A2419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-</w:t>
      </w:r>
      <w:r w:rsidRPr="00084937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kontaktperson</w:t>
      </w:r>
      <w:r w:rsidR="005F7D05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 </w:t>
      </w:r>
      <w:r w:rsidRPr="00084937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-</w:t>
      </w:r>
      <w:r w:rsidR="005F7D05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 </w:t>
      </w:r>
      <w:r w:rsidRPr="00084937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interne weisungen</w:t>
      </w:r>
    </w:p>
    <w:p w14:paraId="20B585CD" w14:textId="1055721E" w:rsidR="002478C9" w:rsidRDefault="003B32E3" w:rsidP="002478C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Gültig ab 1.1.2016</w:t>
      </w:r>
    </w:p>
    <w:p w14:paraId="6BEFD0D2" w14:textId="627EF690" w:rsidR="00266B78" w:rsidRDefault="00266B78" w:rsidP="006D4329">
      <w:pPr>
        <w:pStyle w:val="TextmitNummerierung"/>
        <w:numPr>
          <w:ilvl w:val="0"/>
          <w:numId w:val="0"/>
        </w:numPr>
      </w:pPr>
    </w:p>
    <w:p w14:paraId="0E596DE3" w14:textId="2CCBE45A" w:rsidR="00030D1A" w:rsidRPr="00363E84" w:rsidRDefault="00030D1A" w:rsidP="00363E84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Stellung der GwG-Kontaktperson</w:t>
      </w:r>
    </w:p>
    <w:p w14:paraId="3DCC1DE9" w14:textId="77777777" w:rsidR="00772CEA" w:rsidRDefault="00772CEA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</w:p>
    <w:p w14:paraId="522733FB" w14:textId="2C34BBC6" w:rsidR="00BC629D" w:rsidRDefault="00363E84" w:rsidP="00BC629D">
      <w:pPr>
        <w:pStyle w:val="KeinLeerraum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629D">
        <w:rPr>
          <w:rFonts w:ascii="Arial" w:hAnsi="Arial" w:cs="Arial"/>
          <w:sz w:val="20"/>
          <w:szCs w:val="20"/>
        </w:rPr>
        <w:t xml:space="preserve">Die Finanzintermediäre bestimmen jeweils eine GwG-Kontaktperson. Die GwG-Kontaktperson </w:t>
      </w:r>
      <w:r w:rsidR="00907FE1" w:rsidRPr="00BC629D">
        <w:rPr>
          <w:rFonts w:ascii="Arial" w:hAnsi="Arial" w:cs="Arial"/>
          <w:sz w:val="20"/>
          <w:szCs w:val="20"/>
        </w:rPr>
        <w:t>soll wenn möglich</w:t>
      </w:r>
      <w:r w:rsidRPr="00BC629D">
        <w:rPr>
          <w:rFonts w:ascii="Arial" w:hAnsi="Arial" w:cs="Arial"/>
          <w:sz w:val="20"/>
          <w:szCs w:val="20"/>
        </w:rPr>
        <w:t xml:space="preserve"> Mitglied des Verwaltungsrats oder der Geschäftsleitung </w:t>
      </w:r>
      <w:r w:rsidR="00851942" w:rsidRPr="00BC629D">
        <w:rPr>
          <w:rFonts w:ascii="Arial" w:hAnsi="Arial" w:cs="Arial"/>
          <w:sz w:val="20"/>
          <w:szCs w:val="20"/>
        </w:rPr>
        <w:t>(</w:t>
      </w:r>
      <w:r w:rsidRPr="00BC629D">
        <w:rPr>
          <w:rFonts w:ascii="Arial" w:hAnsi="Arial" w:cs="Arial"/>
          <w:sz w:val="20"/>
          <w:szCs w:val="20"/>
        </w:rPr>
        <w:t>mit Unterschriftsberechtigung</w:t>
      </w:r>
      <w:r w:rsidR="00851942" w:rsidRPr="00BC629D">
        <w:rPr>
          <w:rFonts w:ascii="Arial" w:hAnsi="Arial" w:cs="Arial"/>
          <w:sz w:val="20"/>
          <w:szCs w:val="20"/>
        </w:rPr>
        <w:t>) des Finanzintermediärs</w:t>
      </w:r>
      <w:r w:rsidR="00907FE1" w:rsidRPr="00BC629D">
        <w:rPr>
          <w:rFonts w:ascii="Arial" w:hAnsi="Arial" w:cs="Arial"/>
          <w:sz w:val="20"/>
          <w:szCs w:val="20"/>
        </w:rPr>
        <w:t xml:space="preserve"> sein</w:t>
      </w:r>
      <w:r w:rsidR="00BC629D" w:rsidRPr="00BC629D">
        <w:rPr>
          <w:rFonts w:ascii="Arial" w:hAnsi="Arial" w:cs="Arial"/>
          <w:sz w:val="20"/>
          <w:szCs w:val="20"/>
        </w:rPr>
        <w:t>, gegenüber allen Mitarbeitern weisungsbefugt sein</w:t>
      </w:r>
      <w:r w:rsidR="00851942" w:rsidRPr="00BC629D">
        <w:rPr>
          <w:rFonts w:ascii="Arial" w:hAnsi="Arial" w:cs="Arial"/>
          <w:sz w:val="20"/>
          <w:szCs w:val="20"/>
        </w:rPr>
        <w:t xml:space="preserve"> oder eine genügende Qualifikation aufweisen.</w:t>
      </w:r>
    </w:p>
    <w:p w14:paraId="06DF7228" w14:textId="77777777" w:rsidR="00BC629D" w:rsidRPr="00BC629D" w:rsidRDefault="00BC629D" w:rsidP="00BC629D">
      <w:pPr>
        <w:pStyle w:val="KeinLeerraum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08FA4377" w14:textId="03A3E9D0" w:rsidR="00BC629D" w:rsidRDefault="00BC629D" w:rsidP="00BC629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Finanzintermediäre mit mehr als 50 GwG-Mandaten müssen zudem intern einen Stellvertreter der GwG-Kontaktperson bezeichnen, welche dieselben Ausbildungspflichten wie die GwG</w:t>
      </w:r>
      <w:r w:rsidR="004A7E69">
        <w:rPr>
          <w:rStyle w:val="st"/>
          <w:rFonts w:ascii="Arial" w:hAnsi="Arial" w:cs="Arial"/>
          <w:sz w:val="20"/>
          <w:szCs w:val="20"/>
        </w:rPr>
        <w:t>-Kontaktperson wahrnehmen muss.</w:t>
      </w:r>
    </w:p>
    <w:p w14:paraId="74227956" w14:textId="6B55B05A" w:rsidR="00854C44" w:rsidRDefault="00854C44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</w:p>
    <w:p w14:paraId="2627B686" w14:textId="30BB32F6" w:rsidR="00854C44" w:rsidRDefault="00C7241E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  <w:r>
        <w:t>Folgende Unterlagen sind einzureichen</w:t>
      </w:r>
      <w:r w:rsidR="00BF5F67">
        <w:t>,</w:t>
      </w:r>
      <w:r>
        <w:t xml:space="preserve"> </w:t>
      </w:r>
      <w:r w:rsidR="00BF5F67">
        <w:t>um die Ernennung der GwG-Kontaktperson durch den Finanzintermediär prüfen zu können</w:t>
      </w:r>
      <w:r>
        <w:t>:</w:t>
      </w:r>
      <w:r w:rsidR="00851942">
        <w:t xml:space="preserve"> </w:t>
      </w:r>
    </w:p>
    <w:p w14:paraId="4932EB32" w14:textId="2F9DD771" w:rsidR="00851942" w:rsidRPr="008C18E3" w:rsidRDefault="00D54A15" w:rsidP="005D1E4C">
      <w:pPr>
        <w:pStyle w:val="KeinLeerraum"/>
        <w:ind w:left="851"/>
        <w:jc w:val="both"/>
        <w:rPr>
          <w:rFonts w:ascii="Arial" w:hAnsi="Arial" w:cs="Arial"/>
          <w:sz w:val="20"/>
          <w:szCs w:val="20"/>
        </w:rPr>
      </w:pPr>
      <w:r>
        <w:t>-</w:t>
      </w:r>
      <w:r w:rsidR="004A798E">
        <w:t xml:space="preserve"> </w:t>
      </w:r>
      <w:r w:rsidR="00C7241E" w:rsidRPr="008C18E3">
        <w:rPr>
          <w:rFonts w:ascii="Arial" w:hAnsi="Arial" w:cs="Arial"/>
          <w:sz w:val="20"/>
          <w:szCs w:val="20"/>
        </w:rPr>
        <w:t>Kopie eines gültigen Ausweisdokumentes (Pass, ID, Führerausweis), visiert vom Inhaber</w:t>
      </w:r>
    </w:p>
    <w:p w14:paraId="62533663" w14:textId="294ECFAA" w:rsidR="00C7241E" w:rsidRPr="008C18E3" w:rsidRDefault="00D54A15" w:rsidP="005D1E4C">
      <w:pPr>
        <w:pStyle w:val="KeinLeerraum"/>
        <w:ind w:left="851"/>
        <w:jc w:val="both"/>
        <w:rPr>
          <w:rFonts w:ascii="Arial" w:hAnsi="Arial" w:cs="Arial"/>
          <w:sz w:val="20"/>
          <w:szCs w:val="20"/>
        </w:rPr>
      </w:pPr>
      <w:r w:rsidRPr="008C18E3">
        <w:rPr>
          <w:rFonts w:ascii="Arial" w:hAnsi="Arial" w:cs="Arial"/>
          <w:sz w:val="20"/>
          <w:szCs w:val="20"/>
        </w:rPr>
        <w:t>-</w:t>
      </w:r>
      <w:r w:rsidR="004A798E">
        <w:rPr>
          <w:rFonts w:ascii="Arial" w:hAnsi="Arial" w:cs="Arial"/>
          <w:sz w:val="20"/>
          <w:szCs w:val="20"/>
        </w:rPr>
        <w:t xml:space="preserve"> </w:t>
      </w:r>
      <w:r w:rsidR="00C7241E" w:rsidRPr="008C18E3">
        <w:rPr>
          <w:rFonts w:ascii="Arial" w:hAnsi="Arial" w:cs="Arial"/>
          <w:sz w:val="20"/>
          <w:szCs w:val="20"/>
        </w:rPr>
        <w:t>Original des Strafregisterauszugs (nicht älter als drei Monate)</w:t>
      </w:r>
    </w:p>
    <w:p w14:paraId="40EE268B" w14:textId="62CAF717" w:rsidR="007B323A" w:rsidRPr="008C18E3" w:rsidRDefault="00D54A15" w:rsidP="005D1E4C">
      <w:pPr>
        <w:pStyle w:val="KeinLeerraum"/>
        <w:ind w:left="851"/>
        <w:jc w:val="both"/>
        <w:rPr>
          <w:rFonts w:ascii="Arial" w:hAnsi="Arial" w:cs="Arial"/>
          <w:sz w:val="20"/>
          <w:szCs w:val="20"/>
        </w:rPr>
      </w:pPr>
      <w:r w:rsidRPr="008C18E3">
        <w:rPr>
          <w:rFonts w:ascii="Arial" w:hAnsi="Arial" w:cs="Arial"/>
          <w:sz w:val="20"/>
          <w:szCs w:val="20"/>
        </w:rPr>
        <w:t>-</w:t>
      </w:r>
      <w:r w:rsidR="004A798E">
        <w:rPr>
          <w:rFonts w:ascii="Arial" w:hAnsi="Arial" w:cs="Arial"/>
          <w:sz w:val="20"/>
          <w:szCs w:val="20"/>
        </w:rPr>
        <w:t xml:space="preserve"> </w:t>
      </w:r>
      <w:r w:rsidR="00376B46" w:rsidRPr="008C18E3">
        <w:rPr>
          <w:rFonts w:ascii="Arial" w:hAnsi="Arial" w:cs="Arial"/>
          <w:sz w:val="20"/>
          <w:szCs w:val="20"/>
        </w:rPr>
        <w:t>Persönliche Erklärung der betreffenden Person, dass sie weder in ein l</w:t>
      </w:r>
      <w:r w:rsidR="008C18E3">
        <w:rPr>
          <w:rFonts w:ascii="Arial" w:hAnsi="Arial" w:cs="Arial"/>
          <w:sz w:val="20"/>
          <w:szCs w:val="20"/>
        </w:rPr>
        <w:t xml:space="preserve">aufendes Straf-      </w:t>
      </w:r>
      <w:r w:rsidR="008C18E3" w:rsidRPr="008C18E3">
        <w:rPr>
          <w:rFonts w:ascii="Arial" w:hAnsi="Arial" w:cs="Arial"/>
          <w:color w:val="F2F2F2" w:themeColor="background1" w:themeShade="F2"/>
          <w:sz w:val="20"/>
          <w:szCs w:val="20"/>
        </w:rPr>
        <w:t>-</w:t>
      </w:r>
      <w:r w:rsidR="005D1E4C">
        <w:rPr>
          <w:rFonts w:ascii="Arial" w:hAnsi="Arial" w:cs="Arial"/>
          <w:color w:val="F2F2F2" w:themeColor="background1" w:themeShade="F2"/>
          <w:sz w:val="20"/>
          <w:szCs w:val="20"/>
        </w:rPr>
        <w:t>---</w:t>
      </w:r>
      <w:r w:rsidR="008C18E3">
        <w:rPr>
          <w:rFonts w:ascii="Arial" w:hAnsi="Arial" w:cs="Arial"/>
          <w:sz w:val="20"/>
          <w:szCs w:val="20"/>
        </w:rPr>
        <w:t>n</w:t>
      </w:r>
      <w:r w:rsidR="00376B46" w:rsidRPr="008C18E3">
        <w:rPr>
          <w:rFonts w:ascii="Arial" w:hAnsi="Arial" w:cs="Arial"/>
          <w:sz w:val="20"/>
          <w:szCs w:val="20"/>
        </w:rPr>
        <w:t>och in ein laufendes Verwaltungsverfahren verwickelt ist</w:t>
      </w:r>
      <w:r w:rsidR="008C18E3">
        <w:rPr>
          <w:rFonts w:ascii="Arial" w:hAnsi="Arial" w:cs="Arial"/>
          <w:sz w:val="20"/>
          <w:szCs w:val="20"/>
        </w:rPr>
        <w:t xml:space="preserve">, das mit ihrer Berufstätigkeit </w:t>
      </w:r>
      <w:r w:rsidR="008C18E3" w:rsidRPr="008C18E3">
        <w:rPr>
          <w:rFonts w:ascii="Arial" w:hAnsi="Arial" w:cs="Arial"/>
          <w:color w:val="F2F2F2" w:themeColor="background1" w:themeShade="F2"/>
          <w:sz w:val="20"/>
          <w:szCs w:val="20"/>
        </w:rPr>
        <w:t>----</w:t>
      </w:r>
      <w:r w:rsidR="005D1E4C">
        <w:rPr>
          <w:rFonts w:ascii="Arial" w:hAnsi="Arial" w:cs="Arial"/>
          <w:color w:val="F2F2F2" w:themeColor="background1" w:themeShade="F2"/>
          <w:sz w:val="20"/>
          <w:szCs w:val="20"/>
        </w:rPr>
        <w:t>----</w:t>
      </w:r>
      <w:r w:rsidR="00CB6116">
        <w:rPr>
          <w:rFonts w:ascii="Arial" w:hAnsi="Arial" w:cs="Arial"/>
          <w:sz w:val="20"/>
          <w:szCs w:val="20"/>
        </w:rPr>
        <w:t xml:space="preserve">zusammenhängt: </w:t>
      </w:r>
      <w:r w:rsidR="00376B46" w:rsidRPr="008C18E3">
        <w:rPr>
          <w:rFonts w:ascii="Arial" w:hAnsi="Arial" w:cs="Arial"/>
          <w:sz w:val="20"/>
          <w:szCs w:val="20"/>
        </w:rPr>
        <w:t>Fo</w:t>
      </w:r>
      <w:r w:rsidR="004A798E">
        <w:rPr>
          <w:rFonts w:ascii="Arial" w:hAnsi="Arial" w:cs="Arial"/>
          <w:sz w:val="20"/>
          <w:szCs w:val="20"/>
        </w:rPr>
        <w:t xml:space="preserve">rmular «Persönliche Erklärung» </w:t>
      </w:r>
    </w:p>
    <w:p w14:paraId="1160C0F0" w14:textId="46DA1AED" w:rsidR="00C7241E" w:rsidRPr="008C18E3" w:rsidRDefault="00D54A15" w:rsidP="005D1E4C">
      <w:pPr>
        <w:pStyle w:val="KeinLeerraum"/>
        <w:ind w:left="851"/>
        <w:jc w:val="both"/>
        <w:rPr>
          <w:rFonts w:ascii="Arial" w:hAnsi="Arial" w:cs="Arial"/>
          <w:sz w:val="20"/>
          <w:szCs w:val="20"/>
        </w:rPr>
      </w:pPr>
      <w:r w:rsidRPr="008C18E3">
        <w:rPr>
          <w:rFonts w:ascii="Arial" w:hAnsi="Arial" w:cs="Arial"/>
          <w:sz w:val="20"/>
          <w:szCs w:val="20"/>
        </w:rPr>
        <w:t>-</w:t>
      </w:r>
      <w:r w:rsidR="004A798E">
        <w:rPr>
          <w:rFonts w:ascii="Arial" w:hAnsi="Arial" w:cs="Arial"/>
          <w:sz w:val="20"/>
          <w:szCs w:val="20"/>
        </w:rPr>
        <w:t xml:space="preserve"> </w:t>
      </w:r>
      <w:r w:rsidR="00C7241E" w:rsidRPr="008C18E3">
        <w:rPr>
          <w:rFonts w:ascii="Arial" w:hAnsi="Arial" w:cs="Arial"/>
          <w:sz w:val="20"/>
          <w:szCs w:val="20"/>
        </w:rPr>
        <w:t xml:space="preserve">Original unterzeichnetes Curriculum </w:t>
      </w:r>
      <w:proofErr w:type="spellStart"/>
      <w:r w:rsidR="00C7241E" w:rsidRPr="008C18E3">
        <w:rPr>
          <w:rFonts w:ascii="Arial" w:hAnsi="Arial" w:cs="Arial"/>
          <w:sz w:val="20"/>
          <w:szCs w:val="20"/>
        </w:rPr>
        <w:t>vitae</w:t>
      </w:r>
      <w:proofErr w:type="spellEnd"/>
    </w:p>
    <w:p w14:paraId="43BB91AE" w14:textId="06056F25" w:rsidR="00757416" w:rsidRPr="008C18E3" w:rsidRDefault="00D54A15" w:rsidP="005D1E4C">
      <w:pPr>
        <w:pStyle w:val="KeinLeerraum"/>
        <w:ind w:left="851"/>
        <w:jc w:val="both"/>
        <w:rPr>
          <w:rFonts w:ascii="Arial" w:hAnsi="Arial" w:cs="Arial"/>
          <w:sz w:val="20"/>
          <w:szCs w:val="20"/>
        </w:rPr>
      </w:pPr>
      <w:r w:rsidRPr="008C18E3">
        <w:rPr>
          <w:rFonts w:ascii="Arial" w:hAnsi="Arial" w:cs="Arial"/>
          <w:sz w:val="20"/>
          <w:szCs w:val="20"/>
        </w:rPr>
        <w:t>-</w:t>
      </w:r>
      <w:r w:rsidR="004A798E">
        <w:rPr>
          <w:rFonts w:ascii="Arial" w:hAnsi="Arial" w:cs="Arial"/>
          <w:sz w:val="20"/>
          <w:szCs w:val="20"/>
        </w:rPr>
        <w:t xml:space="preserve"> </w:t>
      </w:r>
      <w:r w:rsidR="00757416" w:rsidRPr="008C18E3">
        <w:rPr>
          <w:rFonts w:ascii="Arial" w:hAnsi="Arial" w:cs="Arial"/>
          <w:sz w:val="20"/>
          <w:szCs w:val="20"/>
        </w:rPr>
        <w:t xml:space="preserve">Nachweis der beruflichen und fachlichen Qualifikation (Kopie des Diploms und/oder </w:t>
      </w:r>
      <w:r w:rsidR="008C18E3">
        <w:rPr>
          <w:rFonts w:ascii="Arial" w:hAnsi="Arial" w:cs="Arial"/>
          <w:sz w:val="20"/>
          <w:szCs w:val="20"/>
        </w:rPr>
        <w:t xml:space="preserve"> </w:t>
      </w:r>
      <w:r w:rsidR="008C18E3" w:rsidRPr="008C18E3">
        <w:rPr>
          <w:rFonts w:ascii="Arial" w:hAnsi="Arial" w:cs="Arial"/>
          <w:color w:val="F2F2F2" w:themeColor="background1" w:themeShade="F2"/>
          <w:sz w:val="20"/>
          <w:szCs w:val="20"/>
        </w:rPr>
        <w:t xml:space="preserve"> -----</w:t>
      </w:r>
      <w:r w:rsidR="005D1E4C">
        <w:rPr>
          <w:rFonts w:ascii="Arial" w:hAnsi="Arial" w:cs="Arial"/>
          <w:color w:val="F2F2F2" w:themeColor="background1" w:themeShade="F2"/>
          <w:sz w:val="20"/>
          <w:szCs w:val="20"/>
        </w:rPr>
        <w:t>-----</w:t>
      </w:r>
      <w:r w:rsidR="00757416" w:rsidRPr="008C18E3">
        <w:rPr>
          <w:rFonts w:ascii="Arial" w:hAnsi="Arial" w:cs="Arial"/>
          <w:sz w:val="20"/>
          <w:szCs w:val="20"/>
        </w:rPr>
        <w:t>berufliches Fähigkeitszeugnis, visiert vom Inhaber)</w:t>
      </w:r>
    </w:p>
    <w:p w14:paraId="4E579A26" w14:textId="248B1634" w:rsidR="00851942" w:rsidRDefault="00851942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</w:p>
    <w:p w14:paraId="633DCBB2" w14:textId="08932F5A" w:rsidR="00363E84" w:rsidRDefault="00363E84" w:rsidP="005772AC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  <w:r w:rsidRPr="005772AC">
        <w:rPr>
          <w:u w:val="single"/>
        </w:rPr>
        <w:t>Die GwG-Kontaktperson ist verpflichtet, die Aus- und Weiterbildungsveranstaltungen der SRO zu besuchen</w:t>
      </w:r>
      <w:r>
        <w:t xml:space="preserve"> (siehe unten). Diese Pflicht kann nicht delegiert werden. Bei</w:t>
      </w:r>
      <w:r w:rsidR="009D5C8D">
        <w:t xml:space="preserve"> einer</w:t>
      </w:r>
      <w:r>
        <w:t xml:space="preserve"> Personalmutation muss sichergestellt sein, dass die neue Kontaktperson innerhalb von sechs Monaten einen GwG-Grundkurs besucht und die Weiterbildungspflicht wahrnimmt.</w:t>
      </w:r>
    </w:p>
    <w:p w14:paraId="62FB144E" w14:textId="77777777" w:rsidR="00A637FA" w:rsidRDefault="00A637FA" w:rsidP="00A637FA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46E986" w14:textId="4272775A" w:rsidR="00644414" w:rsidRPr="00E731E1" w:rsidRDefault="00644414" w:rsidP="00644414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Pflichten der GwG-Kontaktperson</w:t>
      </w:r>
      <w:r w:rsidR="001C4E1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im Rahmen </w:t>
      </w:r>
      <w:r w:rsidR="0017555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der Ausbildung, </w:t>
      </w:r>
      <w:r w:rsidR="001C4E15">
        <w:rPr>
          <w:rFonts w:ascii="Arial" w:eastAsia="Times New Roman" w:hAnsi="Arial" w:cs="Arial"/>
          <w:b/>
          <w:sz w:val="20"/>
          <w:szCs w:val="20"/>
          <w:lang w:eastAsia="de-DE"/>
        </w:rPr>
        <w:t>Weiterbildung</w:t>
      </w:r>
      <w:r w:rsidR="0017555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und Weisungen</w:t>
      </w:r>
    </w:p>
    <w:p w14:paraId="41C83284" w14:textId="77777777" w:rsidR="0029206C" w:rsidRDefault="0029206C" w:rsidP="002860A8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423550" w14:textId="522CAD48" w:rsidR="00255992" w:rsidRPr="00255992" w:rsidRDefault="003171E0" w:rsidP="00255992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 w:cs="Arial"/>
          <w:b/>
          <w:sz w:val="20"/>
          <w:szCs w:val="20"/>
        </w:rPr>
        <w:t>GwG-</w:t>
      </w:r>
      <w:r w:rsidR="00255992" w:rsidRPr="00255992">
        <w:rPr>
          <w:rStyle w:val="st"/>
          <w:rFonts w:ascii="Arial" w:hAnsi="Arial" w:cs="Arial"/>
          <w:b/>
          <w:sz w:val="20"/>
          <w:szCs w:val="20"/>
        </w:rPr>
        <w:t>Grundkurs:</w:t>
      </w:r>
    </w:p>
    <w:p w14:paraId="65F64314" w14:textId="5C5D6DCB" w:rsidR="00255992" w:rsidRDefault="00255992" w:rsidP="00352194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 w:rsidRPr="00155B38">
        <w:rPr>
          <w:rStyle w:val="st"/>
          <w:rFonts w:ascii="Arial" w:hAnsi="Arial" w:cs="Arial"/>
          <w:sz w:val="20"/>
          <w:szCs w:val="20"/>
        </w:rPr>
        <w:t>Kontaktpersonen von neu angeschlossenen Finanzintermediären und neue GwG-Kontaktpersonen von bisherigen Finanzintermediären haben den Grundkurs der SRO innert</w:t>
      </w:r>
      <w:r w:rsidRPr="002B4830">
        <w:rPr>
          <w:rStyle w:val="st"/>
          <w:rFonts w:ascii="Arial" w:hAnsi="Arial" w:cs="Arial"/>
          <w:sz w:val="20"/>
          <w:szCs w:val="20"/>
          <w:u w:val="single"/>
        </w:rPr>
        <w:t xml:space="preserve"> sechs Monaten zu absolvieren</w:t>
      </w:r>
      <w:r>
        <w:rPr>
          <w:rStyle w:val="st"/>
          <w:rFonts w:ascii="Arial" w:hAnsi="Arial" w:cs="Arial"/>
          <w:sz w:val="20"/>
          <w:szCs w:val="20"/>
        </w:rPr>
        <w:t>. Neueingestellte Mitarbeiter/innen, welche GwG-Mandate führen, müssen innert s</w:t>
      </w:r>
      <w:r w:rsidR="003B291A">
        <w:rPr>
          <w:rStyle w:val="st"/>
          <w:rFonts w:ascii="Arial" w:hAnsi="Arial" w:cs="Arial"/>
          <w:sz w:val="20"/>
          <w:szCs w:val="20"/>
        </w:rPr>
        <w:t xml:space="preserve">echs Monaten ausgebildet werden </w:t>
      </w:r>
      <w:r>
        <w:rPr>
          <w:rStyle w:val="st"/>
          <w:rFonts w:ascii="Arial" w:hAnsi="Arial" w:cs="Arial"/>
          <w:sz w:val="20"/>
          <w:szCs w:val="20"/>
        </w:rPr>
        <w:t>sofern dies die Gewährleistung der Einhaltung der Pflichten gemäss GwG erfordert.</w:t>
      </w:r>
    </w:p>
    <w:p w14:paraId="6E62A8BB" w14:textId="77777777" w:rsidR="00255992" w:rsidRDefault="00255992" w:rsidP="0063291D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</w:p>
    <w:p w14:paraId="2302C36C" w14:textId="094DD74B" w:rsidR="00255992" w:rsidRDefault="003171E0" w:rsidP="00255992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 w:cs="Arial"/>
          <w:b/>
          <w:sz w:val="20"/>
          <w:szCs w:val="20"/>
        </w:rPr>
        <w:t>GwG-</w:t>
      </w:r>
      <w:r w:rsidR="00255992" w:rsidRPr="00255992">
        <w:rPr>
          <w:rStyle w:val="st"/>
          <w:rFonts w:ascii="Arial" w:hAnsi="Arial" w:cs="Arial"/>
          <w:b/>
          <w:sz w:val="20"/>
          <w:szCs w:val="20"/>
        </w:rPr>
        <w:t>Weiterbildungskurs:</w:t>
      </w:r>
    </w:p>
    <w:p w14:paraId="7C6993F5" w14:textId="6DA00198" w:rsidR="00255992" w:rsidRPr="007A2419" w:rsidRDefault="007A2419" w:rsidP="007A2419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 w:rsidRPr="007A2419">
        <w:rPr>
          <w:rStyle w:val="st"/>
          <w:rFonts w:ascii="Arial" w:hAnsi="Arial" w:cs="Arial"/>
          <w:sz w:val="20"/>
          <w:szCs w:val="20"/>
          <w:u w:val="single"/>
        </w:rPr>
        <w:t>Die GwG-Kontaktperson ist verpflichtet, regelmässig, i.d.R. jährlich, an einem GwG-Weiterbildungskurs teilzunehmen</w:t>
      </w:r>
      <w:r w:rsidRPr="007A2419">
        <w:rPr>
          <w:rStyle w:val="st"/>
          <w:rFonts w:ascii="Arial" w:hAnsi="Arial" w:cs="Arial"/>
          <w:sz w:val="20"/>
          <w:szCs w:val="20"/>
        </w:rPr>
        <w:t>. B</w:t>
      </w:r>
      <w:r w:rsidR="00255992" w:rsidRPr="007A2419">
        <w:rPr>
          <w:rStyle w:val="st"/>
          <w:rFonts w:ascii="Arial" w:hAnsi="Arial" w:cs="Arial"/>
          <w:sz w:val="20"/>
          <w:szCs w:val="20"/>
        </w:rPr>
        <w:t xml:space="preserve">ei Bedarf kann die </w:t>
      </w:r>
      <w:r w:rsidR="003171E0" w:rsidRPr="007A2419">
        <w:rPr>
          <w:rStyle w:val="st"/>
          <w:rFonts w:ascii="Arial" w:hAnsi="Arial" w:cs="Arial"/>
          <w:sz w:val="20"/>
          <w:szCs w:val="20"/>
        </w:rPr>
        <w:t>SRO-</w:t>
      </w:r>
      <w:r w:rsidR="00255992" w:rsidRPr="007A2419">
        <w:rPr>
          <w:rStyle w:val="st"/>
          <w:rFonts w:ascii="Arial" w:hAnsi="Arial" w:cs="Arial"/>
          <w:sz w:val="20"/>
          <w:szCs w:val="20"/>
        </w:rPr>
        <w:t xml:space="preserve">Fachstelle die </w:t>
      </w:r>
      <w:r w:rsidR="003171E0" w:rsidRPr="007A2419">
        <w:rPr>
          <w:rStyle w:val="st"/>
          <w:rFonts w:ascii="Arial" w:hAnsi="Arial" w:cs="Arial"/>
          <w:sz w:val="20"/>
          <w:szCs w:val="20"/>
        </w:rPr>
        <w:t>GwG-Kontaktperson</w:t>
      </w:r>
      <w:r w:rsidR="00255992" w:rsidRPr="007A2419">
        <w:rPr>
          <w:rStyle w:val="st"/>
          <w:rFonts w:ascii="Arial" w:hAnsi="Arial" w:cs="Arial"/>
          <w:sz w:val="20"/>
          <w:szCs w:val="20"/>
        </w:rPr>
        <w:t xml:space="preserve"> jährlich zur Teilnahme verpflichten.</w:t>
      </w:r>
      <w:r w:rsidRPr="007A2419">
        <w:rPr>
          <w:rStyle w:val="st"/>
          <w:rFonts w:ascii="Arial" w:hAnsi="Arial" w:cs="Arial"/>
          <w:sz w:val="20"/>
          <w:szCs w:val="20"/>
        </w:rPr>
        <w:t xml:space="preserve"> </w:t>
      </w:r>
    </w:p>
    <w:p w14:paraId="0AE4CDE1" w14:textId="095A444E" w:rsidR="007A2419" w:rsidRDefault="007A2419" w:rsidP="00255992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</w:p>
    <w:p w14:paraId="4CD198CD" w14:textId="28E9CED3" w:rsidR="001B5980" w:rsidRDefault="00255992" w:rsidP="004C175E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SRO-TREUHAND</w:t>
      </w:r>
      <w:r w:rsidRPr="00D1629A">
        <w:rPr>
          <w:rStyle w:val="st"/>
          <w:rFonts w:ascii="Arial" w:hAnsi="Arial" w:cs="Arial"/>
          <w:sz w:val="20"/>
          <w:szCs w:val="20"/>
        </w:rPr>
        <w:t>|SUISSE</w:t>
      </w:r>
      <w:r>
        <w:rPr>
          <w:rStyle w:val="st"/>
          <w:rFonts w:ascii="Arial" w:hAnsi="Arial" w:cs="Arial"/>
          <w:sz w:val="20"/>
          <w:szCs w:val="20"/>
        </w:rPr>
        <w:t xml:space="preserve"> anerkennt </w:t>
      </w:r>
      <w:r w:rsidR="003171E0">
        <w:rPr>
          <w:rStyle w:val="st"/>
          <w:rFonts w:ascii="Arial" w:hAnsi="Arial" w:cs="Arial"/>
          <w:sz w:val="20"/>
          <w:szCs w:val="20"/>
        </w:rPr>
        <w:t xml:space="preserve">in der Regel </w:t>
      </w:r>
      <w:r>
        <w:rPr>
          <w:rStyle w:val="st"/>
          <w:rFonts w:ascii="Arial" w:hAnsi="Arial" w:cs="Arial"/>
          <w:sz w:val="20"/>
          <w:szCs w:val="20"/>
        </w:rPr>
        <w:t xml:space="preserve">die Grundkurse und die Weiterbildungskurse anderer </w:t>
      </w:r>
      <w:r w:rsidR="003171E0">
        <w:rPr>
          <w:rStyle w:val="st"/>
          <w:rFonts w:ascii="Arial" w:hAnsi="Arial" w:cs="Arial"/>
          <w:sz w:val="20"/>
          <w:szCs w:val="20"/>
        </w:rPr>
        <w:t xml:space="preserve">von der FINMA zugelassenen </w:t>
      </w:r>
      <w:r>
        <w:rPr>
          <w:rStyle w:val="st"/>
          <w:rFonts w:ascii="Arial" w:hAnsi="Arial" w:cs="Arial"/>
          <w:sz w:val="20"/>
          <w:szCs w:val="20"/>
        </w:rPr>
        <w:t>SRO für die angeschlossenen Finanzintermediäre. Eine Kopie der Kursbestätigung ist der SRO-Geschäftsstelle zuzustellen.</w:t>
      </w:r>
    </w:p>
    <w:p w14:paraId="642CDFF7" w14:textId="31A58444" w:rsidR="00D3040E" w:rsidRDefault="00D3040E" w:rsidP="00987ADB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684D73D" w14:textId="414B0FCF" w:rsidR="00987ADB" w:rsidRPr="00987ADB" w:rsidRDefault="00987ADB" w:rsidP="00D376C1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987ADB">
        <w:rPr>
          <w:rStyle w:val="st"/>
          <w:rFonts w:ascii="Arial" w:hAnsi="Arial" w:cs="Arial"/>
          <w:b/>
          <w:sz w:val="20"/>
          <w:szCs w:val="20"/>
        </w:rPr>
        <w:t>Ausb</w:t>
      </w:r>
      <w:r>
        <w:rPr>
          <w:rStyle w:val="st"/>
          <w:rFonts w:ascii="Arial" w:hAnsi="Arial" w:cs="Arial"/>
          <w:b/>
          <w:sz w:val="20"/>
          <w:szCs w:val="20"/>
        </w:rPr>
        <w:t>ildung der Mitarbeitenden</w:t>
      </w:r>
    </w:p>
    <w:p w14:paraId="3141E274" w14:textId="77777777" w:rsidR="00987ADB" w:rsidRDefault="003B3778" w:rsidP="00281DD8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Sie bildet die Mitarbeiter aus, die für GwG-Geschäftsbeziehungen tätig sind oder entsendet sie an die Kurse der SRO</w:t>
      </w:r>
    </w:p>
    <w:p w14:paraId="47529D7C" w14:textId="3C8615C6" w:rsidR="00062FED" w:rsidRDefault="00062FED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7EFE2EEF" w14:textId="53AC7CE5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1B404C76" w14:textId="6807A16A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07C8608A" w14:textId="32FD7D3B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41B9FF13" w14:textId="04830836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31DEA409" w14:textId="2B88F161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3FA0F03A" w14:textId="64C4E4F6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70909D30" w14:textId="38CCEF55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29066214" w14:textId="47C7814A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4BB7C747" w14:textId="77777777" w:rsidR="00CE19AB" w:rsidRDefault="00CE19AB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0FAA7388" w14:textId="77777777" w:rsidR="00062FED" w:rsidRDefault="00062FED" w:rsidP="00062FED">
      <w:pPr>
        <w:pStyle w:val="Fuzeile"/>
        <w:rPr>
          <w:rFonts w:ascii="Arial" w:hAnsi="Arial" w:cs="Arial"/>
          <w:sz w:val="12"/>
          <w:szCs w:val="12"/>
          <w:lang w:eastAsia="fr-FR"/>
        </w:rPr>
      </w:pPr>
    </w:p>
    <w:p w14:paraId="5B7A3D0B" w14:textId="2C0D53FE" w:rsidR="00803AC8" w:rsidRDefault="00CE19AB" w:rsidP="00CE19AB">
      <w:pPr>
        <w:pStyle w:val="KeinLeerraum"/>
        <w:tabs>
          <w:tab w:val="left" w:pos="96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</w:p>
    <w:p w14:paraId="5DF20D78" w14:textId="7452A87B" w:rsidR="003B3778" w:rsidRPr="00B80A6E" w:rsidRDefault="003B3778" w:rsidP="00D376C1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B80A6E">
        <w:rPr>
          <w:rStyle w:val="st"/>
          <w:rFonts w:ascii="Arial" w:hAnsi="Arial" w:cs="Arial"/>
          <w:b/>
          <w:sz w:val="20"/>
          <w:szCs w:val="20"/>
        </w:rPr>
        <w:t xml:space="preserve">Erlass </w:t>
      </w:r>
      <w:r w:rsidR="00A12CDD">
        <w:rPr>
          <w:rStyle w:val="st"/>
          <w:rFonts w:ascii="Arial" w:hAnsi="Arial" w:cs="Arial"/>
          <w:b/>
          <w:sz w:val="20"/>
          <w:szCs w:val="20"/>
        </w:rPr>
        <w:t>interner Weisungen</w:t>
      </w:r>
    </w:p>
    <w:p w14:paraId="29FBA4FD" w14:textId="3E8107AD" w:rsidR="00A12CDD" w:rsidRDefault="001629F4" w:rsidP="00D376C1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Sind neben der GwG-Kontaktperson noch weitere Personen für GwG-Mandate verantwortlich (mit Verfügungskompetenz gegenüber von Kundenvermögen), hat die GWG-Kontaktperson interne Weisungen im GwG-Bereich zu erlassen, welche durch die Geschäftsleitungen </w:t>
      </w:r>
      <w:r w:rsidR="00661D97">
        <w:rPr>
          <w:rStyle w:val="st"/>
          <w:rFonts w:ascii="Arial" w:hAnsi="Arial" w:cs="Arial"/>
          <w:sz w:val="20"/>
          <w:szCs w:val="20"/>
        </w:rPr>
        <w:t>des jeweiligen Finanzintermediärs</w:t>
      </w:r>
      <w:r w:rsidR="003171E0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zu verabschieden sind</w:t>
      </w:r>
    </w:p>
    <w:p w14:paraId="35F54312" w14:textId="77777777" w:rsidR="001629F4" w:rsidRDefault="001629F4" w:rsidP="00A12CD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D1AD61E" w14:textId="43499BE2" w:rsidR="001629F4" w:rsidRPr="00032BF3" w:rsidRDefault="001629F4" w:rsidP="00032BF3">
      <w:pPr>
        <w:pStyle w:val="KeinLeerraum"/>
        <w:numPr>
          <w:ilvl w:val="0"/>
          <w:numId w:val="4"/>
        </w:numPr>
        <w:tabs>
          <w:tab w:val="left" w:pos="567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032BF3">
        <w:rPr>
          <w:rStyle w:val="st"/>
          <w:rFonts w:ascii="Arial" w:hAnsi="Arial" w:cs="Arial"/>
          <w:b/>
          <w:sz w:val="20"/>
          <w:szCs w:val="20"/>
        </w:rPr>
        <w:t>Die Weisungen regeln insbesondere:</w:t>
      </w:r>
    </w:p>
    <w:p w14:paraId="3A3809BE" w14:textId="77777777" w:rsidR="00281DD8" w:rsidRDefault="00281DD8" w:rsidP="00A12CD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99508CD" w14:textId="09FD88D8" w:rsidR="001629F4" w:rsidRDefault="00281DD8" w:rsidP="00281DD8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- </w:t>
      </w:r>
      <w:r w:rsidR="001629F4">
        <w:rPr>
          <w:rStyle w:val="st"/>
          <w:rFonts w:ascii="Arial" w:hAnsi="Arial" w:cs="Arial"/>
          <w:sz w:val="20"/>
          <w:szCs w:val="20"/>
        </w:rPr>
        <w:t>Die Kriterien bezüglich GwG-Geschäftsbeziehungen mit erhöhtem Risiko</w:t>
      </w:r>
    </w:p>
    <w:p w14:paraId="557F7A63" w14:textId="5BE4E6A5" w:rsidR="001629F4" w:rsidRPr="0013784D" w:rsidRDefault="00281DD8" w:rsidP="00281DD8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- </w:t>
      </w:r>
      <w:r w:rsidR="001629F4" w:rsidRPr="0013784D">
        <w:rPr>
          <w:rStyle w:val="st"/>
          <w:rFonts w:ascii="Arial" w:hAnsi="Arial" w:cs="Arial"/>
          <w:sz w:val="20"/>
          <w:szCs w:val="20"/>
        </w:rPr>
        <w:t>Das Festlegen der Betragsgrenzen bei Tra</w:t>
      </w:r>
      <w:r w:rsidR="00D3346B">
        <w:rPr>
          <w:rStyle w:val="st"/>
          <w:rFonts w:ascii="Arial" w:hAnsi="Arial" w:cs="Arial"/>
          <w:sz w:val="20"/>
          <w:szCs w:val="20"/>
        </w:rPr>
        <w:t>nsaktionen mit erhöhtem Risiko</w:t>
      </w:r>
      <w:r w:rsidR="00A13C79" w:rsidRPr="0013784D">
        <w:rPr>
          <w:rStyle w:val="st"/>
          <w:rFonts w:ascii="Arial" w:hAnsi="Arial" w:cs="Arial"/>
          <w:sz w:val="20"/>
          <w:szCs w:val="20"/>
        </w:rPr>
        <w:t xml:space="preserve"> </w:t>
      </w:r>
    </w:p>
    <w:p w14:paraId="1687009C" w14:textId="7CD3B8B4" w:rsidR="008C50FD" w:rsidRDefault="00281DD8" w:rsidP="00281DD8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- </w:t>
      </w:r>
      <w:r w:rsidR="008C50FD">
        <w:rPr>
          <w:rStyle w:val="st"/>
          <w:rFonts w:ascii="Arial" w:hAnsi="Arial" w:cs="Arial"/>
          <w:sz w:val="20"/>
          <w:szCs w:val="20"/>
        </w:rPr>
        <w:t>Festlegen der Grundzüge und Frequenz der Ausbildung der Mitarbeiterinnen und Mitarbeiter</w:t>
      </w:r>
    </w:p>
    <w:p w14:paraId="542F0F93" w14:textId="156FDD44" w:rsidR="008C50FD" w:rsidRDefault="00281DD8" w:rsidP="00281DD8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- </w:t>
      </w:r>
      <w:r w:rsidR="008C50FD">
        <w:rPr>
          <w:rStyle w:val="st"/>
          <w:rFonts w:ascii="Arial" w:hAnsi="Arial" w:cs="Arial"/>
          <w:sz w:val="20"/>
          <w:szCs w:val="20"/>
        </w:rPr>
        <w:t>Die Geschäftspolitik hinsichtlich der politisch exponierten Personen</w:t>
      </w:r>
    </w:p>
    <w:p w14:paraId="2C756F5E" w14:textId="602B1165" w:rsidR="008C50FD" w:rsidRDefault="00281DD8" w:rsidP="00281DD8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- </w:t>
      </w:r>
      <w:r w:rsidR="008C50FD">
        <w:rPr>
          <w:rStyle w:val="st"/>
          <w:rFonts w:ascii="Arial" w:hAnsi="Arial" w:cs="Arial"/>
          <w:sz w:val="20"/>
          <w:szCs w:val="20"/>
        </w:rPr>
        <w:t>Die Zuständigkeit für Meldungen an die Meldestelle für Geldwäscherei (MROS)</w:t>
      </w:r>
    </w:p>
    <w:p w14:paraId="303E3161" w14:textId="4E3AE5E3" w:rsidR="008C50FD" w:rsidRDefault="008C50FD" w:rsidP="008C50F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4920470" w14:textId="36C41476" w:rsidR="0075270F" w:rsidRDefault="0075270F" w:rsidP="008C50F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73392E3" w14:textId="2BC1E948" w:rsidR="00EB627A" w:rsidRPr="00EB627A" w:rsidRDefault="00EB627A" w:rsidP="00290CDD">
      <w:pPr>
        <w:pStyle w:val="KeinLeerraum"/>
        <w:tabs>
          <w:tab w:val="left" w:pos="567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1097168A" w14:textId="77777777" w:rsidR="00A04616" w:rsidRPr="00A04616" w:rsidRDefault="0013784D" w:rsidP="0013784D">
      <w:pPr>
        <w:tabs>
          <w:tab w:val="left" w:pos="2355"/>
        </w:tabs>
      </w:pPr>
      <w:r>
        <w:tab/>
      </w:r>
    </w:p>
    <w:p w14:paraId="5D48919F" w14:textId="24BB4D0A" w:rsidR="00A24E72" w:rsidRPr="003E56B8" w:rsidRDefault="00A24E72" w:rsidP="00A24E72">
      <w:pPr>
        <w:pStyle w:val="KeinLeerraum"/>
        <w:rPr>
          <w:rFonts w:ascii="Arial" w:hAnsi="Arial" w:cs="Arial"/>
          <w:sz w:val="20"/>
          <w:szCs w:val="20"/>
        </w:rPr>
      </w:pPr>
      <w:r w:rsidRPr="003E56B8">
        <w:rPr>
          <w:rFonts w:ascii="Arial" w:hAnsi="Arial" w:cs="Arial"/>
          <w:sz w:val="20"/>
          <w:szCs w:val="20"/>
        </w:rPr>
        <w:t>SRO-Kommission</w:t>
      </w:r>
      <w:r w:rsidR="00931F64">
        <w:rPr>
          <w:rFonts w:ascii="Arial" w:hAnsi="Arial" w:cs="Arial"/>
          <w:sz w:val="20"/>
          <w:szCs w:val="20"/>
        </w:rPr>
        <w:t>, 3. Mai 2017</w:t>
      </w:r>
    </w:p>
    <w:p w14:paraId="53C0E06E" w14:textId="34D91595" w:rsidR="00EC3734" w:rsidRDefault="00EC3734" w:rsidP="00290CDD">
      <w:pPr>
        <w:pStyle w:val="KeinLeerraum"/>
      </w:pPr>
    </w:p>
    <w:p w14:paraId="071DB5A5" w14:textId="5903AB14" w:rsidR="007B6B53" w:rsidRDefault="007B6B53" w:rsidP="00290CDD">
      <w:pPr>
        <w:pStyle w:val="KeinLeerraum"/>
      </w:pPr>
    </w:p>
    <w:p w14:paraId="7CC7127A" w14:textId="77B1BF03" w:rsidR="007B6B53" w:rsidRDefault="007B6B53" w:rsidP="00290CDD">
      <w:pPr>
        <w:pStyle w:val="KeinLeerraum"/>
      </w:pPr>
    </w:p>
    <w:p w14:paraId="55239007" w14:textId="4977A6CA" w:rsidR="007B6B53" w:rsidRDefault="007B6B53" w:rsidP="00290CDD">
      <w:pPr>
        <w:pStyle w:val="KeinLeerraum"/>
      </w:pPr>
    </w:p>
    <w:p w14:paraId="20DA0C0A" w14:textId="08CFFA99" w:rsidR="007B6B53" w:rsidRDefault="007B6B53" w:rsidP="00290CDD">
      <w:pPr>
        <w:pStyle w:val="KeinLeerraum"/>
      </w:pPr>
    </w:p>
    <w:p w14:paraId="38C9F705" w14:textId="7391D704" w:rsidR="007B6B53" w:rsidRDefault="007B6B53" w:rsidP="00290CDD">
      <w:pPr>
        <w:pStyle w:val="KeinLeerraum"/>
      </w:pPr>
    </w:p>
    <w:p w14:paraId="74EE1DE0" w14:textId="16AF885D" w:rsidR="007B6B53" w:rsidRDefault="005A196A" w:rsidP="00290CDD">
      <w:pPr>
        <w:pStyle w:val="KeinLeerraum"/>
      </w:pPr>
      <w:hyperlink r:id="rId9" w:history="1">
        <w:r w:rsidRPr="00550961">
          <w:rPr>
            <w:rStyle w:val="Hyperlink"/>
          </w:rPr>
          <w:t>https://www.seco.admin.ch/seco/de/home/Aussenwirtschaftspolitik_Wirtschaftliche_Zusammenarbeit/Wirtschaftsbeziehungen/exportkontrollen-und-sanktionen/sanktionen-embargos.html</w:t>
        </w:r>
      </w:hyperlink>
    </w:p>
    <w:p w14:paraId="23223CE0" w14:textId="77777777" w:rsidR="005A196A" w:rsidRDefault="005A196A" w:rsidP="00290CDD">
      <w:pPr>
        <w:pStyle w:val="KeinLeerraum"/>
      </w:pPr>
    </w:p>
    <w:p w14:paraId="1BDF9E23" w14:textId="70FD12C8" w:rsidR="007B6B53" w:rsidRDefault="007B6B53" w:rsidP="00290CDD">
      <w:pPr>
        <w:pStyle w:val="KeinLeerraum"/>
      </w:pPr>
    </w:p>
    <w:p w14:paraId="712EE29E" w14:textId="66C6638C" w:rsidR="007B6B53" w:rsidRDefault="007B6B53" w:rsidP="00290CDD">
      <w:pPr>
        <w:pStyle w:val="KeinLeerraum"/>
      </w:pPr>
    </w:p>
    <w:p w14:paraId="5C3CC109" w14:textId="7993F2AE" w:rsidR="007B6B53" w:rsidRDefault="007B6B53" w:rsidP="00290CDD">
      <w:pPr>
        <w:pStyle w:val="KeinLeerraum"/>
      </w:pPr>
    </w:p>
    <w:p w14:paraId="3BD1E3F0" w14:textId="1E54D4EB" w:rsidR="007B6B53" w:rsidRDefault="007B6B53" w:rsidP="00290CDD">
      <w:pPr>
        <w:pStyle w:val="KeinLeerraum"/>
      </w:pPr>
    </w:p>
    <w:p w14:paraId="3779069A" w14:textId="5CF3F134" w:rsidR="007B6B53" w:rsidRDefault="007B6B53" w:rsidP="00290CDD">
      <w:pPr>
        <w:pStyle w:val="KeinLeerraum"/>
      </w:pPr>
    </w:p>
    <w:p w14:paraId="626273C9" w14:textId="55A9C7F6" w:rsidR="007B6B53" w:rsidRDefault="007B6B53" w:rsidP="00290CDD">
      <w:pPr>
        <w:pStyle w:val="KeinLeerraum"/>
      </w:pPr>
    </w:p>
    <w:p w14:paraId="6D691310" w14:textId="4B0E0499" w:rsidR="007B6B53" w:rsidRDefault="007B6B53" w:rsidP="00290CDD">
      <w:pPr>
        <w:pStyle w:val="KeinLeerraum"/>
      </w:pPr>
    </w:p>
    <w:p w14:paraId="73D34EAD" w14:textId="238742E3" w:rsidR="007B6B53" w:rsidRDefault="007B6B53" w:rsidP="00290CDD">
      <w:pPr>
        <w:pStyle w:val="KeinLeerraum"/>
      </w:pPr>
    </w:p>
    <w:p w14:paraId="171DB16B" w14:textId="615DB806" w:rsidR="007B6B53" w:rsidRDefault="007B6B53" w:rsidP="00290CDD">
      <w:pPr>
        <w:pStyle w:val="KeinLeerraum"/>
      </w:pPr>
    </w:p>
    <w:p w14:paraId="63699AA4" w14:textId="5FE7DF39" w:rsidR="007B6B53" w:rsidRDefault="007B6B53" w:rsidP="00290CDD">
      <w:pPr>
        <w:pStyle w:val="KeinLeerraum"/>
      </w:pPr>
    </w:p>
    <w:p w14:paraId="0E9D9F76" w14:textId="3356CE94" w:rsidR="007B6B53" w:rsidRDefault="007B6B53" w:rsidP="00290CDD">
      <w:pPr>
        <w:pStyle w:val="KeinLeerraum"/>
      </w:pPr>
    </w:p>
    <w:p w14:paraId="243FC1E2" w14:textId="46E98F45" w:rsidR="007B6B53" w:rsidRDefault="007B6B53" w:rsidP="00290CDD">
      <w:pPr>
        <w:pStyle w:val="KeinLeerraum"/>
      </w:pPr>
    </w:p>
    <w:p w14:paraId="092A2C73" w14:textId="45DCAB27" w:rsidR="007B6B53" w:rsidRDefault="007B6B53" w:rsidP="00290CDD">
      <w:pPr>
        <w:pStyle w:val="KeinLeerraum"/>
      </w:pPr>
    </w:p>
    <w:p w14:paraId="3D9EDFB2" w14:textId="2C3E0EDC" w:rsidR="007B6B53" w:rsidRDefault="007B6B53" w:rsidP="00290CDD">
      <w:pPr>
        <w:pStyle w:val="KeinLeerraum"/>
      </w:pPr>
    </w:p>
    <w:p w14:paraId="63CCC751" w14:textId="550BC134" w:rsidR="007B6B53" w:rsidRDefault="007B6B53" w:rsidP="00290CDD">
      <w:pPr>
        <w:pStyle w:val="KeinLeerraum"/>
      </w:pPr>
    </w:p>
    <w:p w14:paraId="019C661E" w14:textId="0DEC6C08" w:rsidR="007B6B53" w:rsidRDefault="007B6B53" w:rsidP="00290CDD">
      <w:pPr>
        <w:pStyle w:val="KeinLeerraum"/>
      </w:pPr>
    </w:p>
    <w:p w14:paraId="41F9162B" w14:textId="08699932" w:rsidR="007B6B53" w:rsidRDefault="007B6B53" w:rsidP="00290CDD">
      <w:pPr>
        <w:pStyle w:val="KeinLeerraum"/>
      </w:pPr>
    </w:p>
    <w:p w14:paraId="65087F2F" w14:textId="1C805F02" w:rsidR="007B6B53" w:rsidRDefault="007B6B53" w:rsidP="00290CDD">
      <w:pPr>
        <w:pStyle w:val="KeinLeerraum"/>
      </w:pPr>
    </w:p>
    <w:p w14:paraId="4D80AA3F" w14:textId="0FD47B1E" w:rsidR="007B6B53" w:rsidRDefault="007B6B53" w:rsidP="00290CDD">
      <w:pPr>
        <w:pStyle w:val="KeinLeerraum"/>
      </w:pPr>
    </w:p>
    <w:p w14:paraId="056DA123" w14:textId="11D5230B" w:rsidR="007B6B53" w:rsidRDefault="007B6B53" w:rsidP="00290CDD">
      <w:pPr>
        <w:pStyle w:val="KeinLeerraum"/>
      </w:pPr>
    </w:p>
    <w:p w14:paraId="38AE0FA6" w14:textId="4BD26B78" w:rsidR="007B6B53" w:rsidRDefault="007B6B53" w:rsidP="00290CDD">
      <w:pPr>
        <w:pStyle w:val="KeinLeerraum"/>
      </w:pPr>
    </w:p>
    <w:p w14:paraId="73E6B4CD" w14:textId="27346445" w:rsidR="007B6B53" w:rsidRDefault="007B6B53" w:rsidP="00290CDD">
      <w:pPr>
        <w:pStyle w:val="KeinLeerraum"/>
      </w:pPr>
    </w:p>
    <w:p w14:paraId="37D0A8D6" w14:textId="7E390460" w:rsidR="007B6B53" w:rsidRPr="00DC6516" w:rsidRDefault="007B6B53" w:rsidP="00DC6516">
      <w:pPr>
        <w:tabs>
          <w:tab w:val="left" w:pos="5760"/>
        </w:tabs>
      </w:pPr>
    </w:p>
    <w:sectPr w:rsidR="007B6B53" w:rsidRPr="00DC6516" w:rsidSect="00AE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284" w:left="1417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62E9" w14:textId="77777777" w:rsidR="002965FB" w:rsidRDefault="002965FB" w:rsidP="00A04616">
      <w:pPr>
        <w:spacing w:after="0" w:line="240" w:lineRule="auto"/>
      </w:pPr>
      <w:r>
        <w:separator/>
      </w:r>
    </w:p>
  </w:endnote>
  <w:endnote w:type="continuationSeparator" w:id="0">
    <w:p w14:paraId="04F96654" w14:textId="77777777" w:rsidR="002965FB" w:rsidRDefault="002965FB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D977" w14:textId="77777777" w:rsidR="005A196A" w:rsidRDefault="005A19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052"/>
      <w:docPartObj>
        <w:docPartGallery w:val="Page Numbers (Top of Page)"/>
        <w:docPartUnique/>
      </w:docPartObj>
    </w:sdtPr>
    <w:sdtEndPr/>
    <w:sdtContent>
      <w:p w14:paraId="6FAFCE5D" w14:textId="77777777" w:rsidR="00D2440B" w:rsidRPr="00391B7E" w:rsidRDefault="00D2440B" w:rsidP="00D2440B">
        <w:pPr>
          <w:pStyle w:val="Fuzeile"/>
          <w:jc w:val="center"/>
          <w:rPr>
            <w:sz w:val="18"/>
            <w:szCs w:val="18"/>
          </w:rPr>
        </w:pPr>
      </w:p>
      <w:p w14:paraId="468CA95D" w14:textId="1BED9640" w:rsidR="00D2440B" w:rsidRPr="008966F3" w:rsidRDefault="005A196A" w:rsidP="00D2440B">
        <w:pPr>
          <w:pStyle w:val="Fuzeil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Kontaktperson</w:t>
        </w:r>
        <w:bookmarkStart w:id="0" w:name="_GoBack"/>
        <w:bookmarkEnd w:id="0"/>
        <w:r w:rsidR="00D2440B">
          <w:rPr>
            <w:sz w:val="18"/>
            <w:szCs w:val="18"/>
          </w:rPr>
          <w:tab/>
        </w:r>
        <w:r w:rsidR="00D2440B" w:rsidRPr="008966F3">
          <w:rPr>
            <w:sz w:val="18"/>
            <w:szCs w:val="18"/>
          </w:rPr>
          <w:t>SRO-TREUHAND|SUISSE, Monbijoustrasse 20, PF, 3001 Bern</w:t>
        </w:r>
        <w:r w:rsidR="00D2440B">
          <w:rPr>
            <w:sz w:val="18"/>
            <w:szCs w:val="18"/>
          </w:rPr>
          <w:tab/>
        </w:r>
        <w:r w:rsidR="00D2440B" w:rsidRPr="00452E81">
          <w:rPr>
            <w:sz w:val="18"/>
            <w:szCs w:val="18"/>
            <w:lang w:val="de-DE"/>
          </w:rPr>
          <w:t xml:space="preserve">Seite </w:t>
        </w:r>
        <w:r w:rsidR="00D2440B" w:rsidRPr="00452E81">
          <w:rPr>
            <w:bCs/>
            <w:sz w:val="18"/>
            <w:szCs w:val="18"/>
          </w:rPr>
          <w:fldChar w:fldCharType="begin"/>
        </w:r>
        <w:r w:rsidR="00D2440B" w:rsidRPr="00452E81">
          <w:rPr>
            <w:bCs/>
            <w:sz w:val="18"/>
            <w:szCs w:val="18"/>
          </w:rPr>
          <w:instrText>PAGE  \* Arabic  \* MERGEFORMAT</w:instrText>
        </w:r>
        <w:r w:rsidR="00D2440B" w:rsidRPr="00452E81">
          <w:rPr>
            <w:bCs/>
            <w:sz w:val="18"/>
            <w:szCs w:val="18"/>
          </w:rPr>
          <w:fldChar w:fldCharType="separate"/>
        </w:r>
        <w:r w:rsidRPr="005A196A">
          <w:rPr>
            <w:bCs/>
            <w:noProof/>
            <w:sz w:val="18"/>
            <w:szCs w:val="18"/>
            <w:lang w:val="de-DE"/>
          </w:rPr>
          <w:t>2</w:t>
        </w:r>
        <w:r w:rsidR="00D2440B" w:rsidRPr="00452E81">
          <w:rPr>
            <w:bCs/>
            <w:sz w:val="18"/>
            <w:szCs w:val="18"/>
          </w:rPr>
          <w:fldChar w:fldCharType="end"/>
        </w:r>
        <w:r w:rsidR="00D2440B" w:rsidRPr="00452E81">
          <w:rPr>
            <w:sz w:val="18"/>
            <w:szCs w:val="18"/>
            <w:lang w:val="de-DE"/>
          </w:rPr>
          <w:t xml:space="preserve"> von </w:t>
        </w:r>
        <w:r w:rsidR="00D2440B" w:rsidRPr="00452E81">
          <w:rPr>
            <w:bCs/>
            <w:sz w:val="18"/>
            <w:szCs w:val="18"/>
          </w:rPr>
          <w:fldChar w:fldCharType="begin"/>
        </w:r>
        <w:r w:rsidR="00D2440B" w:rsidRPr="00452E81">
          <w:rPr>
            <w:bCs/>
            <w:sz w:val="18"/>
            <w:szCs w:val="18"/>
          </w:rPr>
          <w:instrText>NUMPAGES  \* Arabic  \* MERGEFORMAT</w:instrText>
        </w:r>
        <w:r w:rsidR="00D2440B" w:rsidRPr="00452E81">
          <w:rPr>
            <w:bCs/>
            <w:sz w:val="18"/>
            <w:szCs w:val="18"/>
          </w:rPr>
          <w:fldChar w:fldCharType="separate"/>
        </w:r>
        <w:r w:rsidRPr="005A196A">
          <w:rPr>
            <w:bCs/>
            <w:noProof/>
            <w:sz w:val="18"/>
            <w:szCs w:val="18"/>
            <w:lang w:val="de-DE"/>
          </w:rPr>
          <w:t>2</w:t>
        </w:r>
        <w:r w:rsidR="00D2440B" w:rsidRPr="00452E81">
          <w:rPr>
            <w:bCs/>
            <w:sz w:val="18"/>
            <w:szCs w:val="18"/>
          </w:rPr>
          <w:fldChar w:fldCharType="end"/>
        </w:r>
      </w:p>
      <w:p w14:paraId="1D4A3E10" w14:textId="77777777" w:rsidR="00D2440B" w:rsidRPr="008966F3" w:rsidRDefault="00D2440B" w:rsidP="00D2440B">
        <w:pPr>
          <w:pStyle w:val="Fuzeile"/>
          <w:jc w:val="center"/>
          <w:rPr>
            <w:sz w:val="18"/>
            <w:szCs w:val="18"/>
          </w:rPr>
        </w:pPr>
        <w:r w:rsidRPr="008966F3">
          <w:rPr>
            <w:sz w:val="18"/>
            <w:szCs w:val="18"/>
          </w:rPr>
          <w:t>Tel: 380 64 80 Fax: 031 380 64 31</w:t>
        </w:r>
      </w:p>
      <w:p w14:paraId="443BA728" w14:textId="77777777" w:rsidR="00D2440B" w:rsidRPr="00C311F2" w:rsidRDefault="005A196A" w:rsidP="00D2440B">
        <w:pPr>
          <w:pStyle w:val="Fuzeile"/>
          <w:jc w:val="center"/>
          <w:rPr>
            <w:b/>
            <w:bCs/>
            <w:sz w:val="16"/>
            <w:szCs w:val="16"/>
          </w:rPr>
        </w:pPr>
        <w:hyperlink r:id="rId1" w:history="1">
          <w:r w:rsidR="00D2440B" w:rsidRPr="008966F3">
            <w:rPr>
              <w:rStyle w:val="Hyperlink"/>
              <w:sz w:val="18"/>
              <w:szCs w:val="18"/>
            </w:rPr>
            <w:t>www.sro-treuhandsuisse.ch</w:t>
          </w:r>
        </w:hyperlink>
        <w:r w:rsidR="00D2440B" w:rsidRPr="008966F3">
          <w:rPr>
            <w:sz w:val="18"/>
            <w:szCs w:val="18"/>
          </w:rPr>
          <w:t xml:space="preserve"> / </w:t>
        </w:r>
        <w:hyperlink r:id="rId2" w:history="1">
          <w:r w:rsidR="00D2440B" w:rsidRPr="008966F3">
            <w:rPr>
              <w:rStyle w:val="Hyperlink"/>
              <w:sz w:val="18"/>
              <w:szCs w:val="18"/>
            </w:rPr>
            <w:t>sro@treuhandsuisse.ch</w:t>
          </w:r>
        </w:hyperlink>
      </w:p>
      <w:p w14:paraId="3F887DFA" w14:textId="77777777" w:rsidR="00D2440B" w:rsidRPr="00391B7E" w:rsidRDefault="005A196A" w:rsidP="00D2440B">
        <w:pPr>
          <w:spacing w:after="0" w:line="240" w:lineRule="auto"/>
          <w:rPr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9F80" w14:textId="30E17F0F" w:rsidR="00CE19AB" w:rsidRPr="00D2440B" w:rsidRDefault="00CE19AB" w:rsidP="00CE19AB">
    <w:pPr>
      <w:pStyle w:val="Fuzeile"/>
      <w:rPr>
        <w:sz w:val="18"/>
        <w:szCs w:val="18"/>
      </w:rPr>
    </w:pPr>
    <w:r w:rsidRPr="00D2440B">
      <w:rPr>
        <w:sz w:val="18"/>
        <w:szCs w:val="18"/>
      </w:rPr>
      <w:t>Kontaktperson</w:t>
    </w:r>
    <w:r w:rsidRPr="00D2440B">
      <w:rPr>
        <w:sz w:val="18"/>
        <w:szCs w:val="18"/>
      </w:rPr>
      <w:tab/>
    </w:r>
    <w:r w:rsidRPr="00D2440B">
      <w:rPr>
        <w:sz w:val="18"/>
        <w:szCs w:val="18"/>
      </w:rPr>
      <w:tab/>
    </w:r>
    <w:r w:rsidRPr="00D2440B">
      <w:rPr>
        <w:sz w:val="18"/>
        <w:szCs w:val="18"/>
        <w:lang w:val="de-DE"/>
      </w:rPr>
      <w:t xml:space="preserve">Seite </w:t>
    </w:r>
    <w:r w:rsidRPr="00D2440B">
      <w:rPr>
        <w:bCs/>
        <w:sz w:val="18"/>
        <w:szCs w:val="18"/>
      </w:rPr>
      <w:fldChar w:fldCharType="begin"/>
    </w:r>
    <w:r w:rsidRPr="00D2440B">
      <w:rPr>
        <w:bCs/>
        <w:sz w:val="18"/>
        <w:szCs w:val="18"/>
      </w:rPr>
      <w:instrText>PAGE  \* Arabic  \* MERGEFORMAT</w:instrText>
    </w:r>
    <w:r w:rsidRPr="00D2440B">
      <w:rPr>
        <w:bCs/>
        <w:sz w:val="18"/>
        <w:szCs w:val="18"/>
      </w:rPr>
      <w:fldChar w:fldCharType="separate"/>
    </w:r>
    <w:r w:rsidR="005A196A" w:rsidRPr="005A196A">
      <w:rPr>
        <w:bCs/>
        <w:noProof/>
        <w:sz w:val="18"/>
        <w:szCs w:val="18"/>
        <w:lang w:val="de-DE"/>
      </w:rPr>
      <w:t>1</w:t>
    </w:r>
    <w:r w:rsidRPr="00D2440B">
      <w:rPr>
        <w:bCs/>
        <w:sz w:val="18"/>
        <w:szCs w:val="18"/>
      </w:rPr>
      <w:fldChar w:fldCharType="end"/>
    </w:r>
    <w:r w:rsidRPr="00D2440B">
      <w:rPr>
        <w:sz w:val="18"/>
        <w:szCs w:val="18"/>
        <w:lang w:val="de-DE"/>
      </w:rPr>
      <w:t xml:space="preserve"> von </w:t>
    </w:r>
    <w:r w:rsidRPr="00D2440B">
      <w:rPr>
        <w:bCs/>
        <w:sz w:val="18"/>
        <w:szCs w:val="18"/>
      </w:rPr>
      <w:fldChar w:fldCharType="begin"/>
    </w:r>
    <w:r w:rsidRPr="00D2440B">
      <w:rPr>
        <w:bCs/>
        <w:sz w:val="18"/>
        <w:szCs w:val="18"/>
      </w:rPr>
      <w:instrText>NUMPAGES  \* Arabic  \* MERGEFORMAT</w:instrText>
    </w:r>
    <w:r w:rsidRPr="00D2440B">
      <w:rPr>
        <w:bCs/>
        <w:sz w:val="18"/>
        <w:szCs w:val="18"/>
      </w:rPr>
      <w:fldChar w:fldCharType="separate"/>
    </w:r>
    <w:r w:rsidR="005A196A" w:rsidRPr="005A196A">
      <w:rPr>
        <w:bCs/>
        <w:noProof/>
        <w:sz w:val="18"/>
        <w:szCs w:val="18"/>
        <w:lang w:val="de-DE"/>
      </w:rPr>
      <w:t>2</w:t>
    </w:r>
    <w:r w:rsidRPr="00D2440B">
      <w:rPr>
        <w:bCs/>
        <w:sz w:val="18"/>
        <w:szCs w:val="18"/>
      </w:rPr>
      <w:fldChar w:fldCharType="end"/>
    </w:r>
  </w:p>
  <w:p w14:paraId="1BA877F6" w14:textId="68011E80" w:rsidR="00CE19AB" w:rsidRPr="00D2440B" w:rsidRDefault="00CE19AB">
    <w:pPr>
      <w:pStyle w:val="Fuzeile"/>
      <w:rPr>
        <w:sz w:val="18"/>
        <w:szCs w:val="18"/>
      </w:rPr>
    </w:pPr>
  </w:p>
  <w:p w14:paraId="0DFBFFBA" w14:textId="77777777" w:rsidR="00D2440B" w:rsidRPr="00D2440B" w:rsidRDefault="00D2440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E198" w14:textId="77777777" w:rsidR="002965FB" w:rsidRDefault="002965FB" w:rsidP="00A04616">
      <w:pPr>
        <w:spacing w:after="0" w:line="240" w:lineRule="auto"/>
      </w:pPr>
      <w:r>
        <w:separator/>
      </w:r>
    </w:p>
  </w:footnote>
  <w:footnote w:type="continuationSeparator" w:id="0">
    <w:p w14:paraId="02B10E9B" w14:textId="77777777" w:rsidR="002965FB" w:rsidRDefault="002965FB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7668" w14:textId="77777777" w:rsidR="005A196A" w:rsidRDefault="005A19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BF20" w14:textId="33A1BF32" w:rsidR="00301AE1" w:rsidRDefault="00301AE1">
    <w:pPr>
      <w:pStyle w:val="Kopfzeile"/>
      <w:jc w:val="right"/>
    </w:pPr>
  </w:p>
  <w:p w14:paraId="2D20737E" w14:textId="339D2BC4" w:rsidR="00A04616" w:rsidRPr="00301AE1" w:rsidRDefault="00A04616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7D54" w14:textId="77777777" w:rsidR="005A196A" w:rsidRDefault="005A19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312"/>
    <w:multiLevelType w:val="hybridMultilevel"/>
    <w:tmpl w:val="376211D8"/>
    <w:lvl w:ilvl="0" w:tplc="08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4A0560"/>
    <w:multiLevelType w:val="hybridMultilevel"/>
    <w:tmpl w:val="7FD466DA"/>
    <w:lvl w:ilvl="0" w:tplc="D1BA73B6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69BD3F81"/>
    <w:multiLevelType w:val="hybridMultilevel"/>
    <w:tmpl w:val="FC027F32"/>
    <w:lvl w:ilvl="0" w:tplc="402E9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A60D73"/>
    <w:multiLevelType w:val="hybridMultilevel"/>
    <w:tmpl w:val="DACEC06C"/>
    <w:lvl w:ilvl="0" w:tplc="64BAAD96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13503"/>
    <w:rsid w:val="000200E2"/>
    <w:rsid w:val="00030D1A"/>
    <w:rsid w:val="00032BF3"/>
    <w:rsid w:val="00043351"/>
    <w:rsid w:val="00062FED"/>
    <w:rsid w:val="00084937"/>
    <w:rsid w:val="000C1369"/>
    <w:rsid w:val="00101010"/>
    <w:rsid w:val="0010507E"/>
    <w:rsid w:val="0013480A"/>
    <w:rsid w:val="00135EF0"/>
    <w:rsid w:val="0013784D"/>
    <w:rsid w:val="00155B38"/>
    <w:rsid w:val="001629F4"/>
    <w:rsid w:val="00164DF3"/>
    <w:rsid w:val="00174373"/>
    <w:rsid w:val="0017555C"/>
    <w:rsid w:val="001772BC"/>
    <w:rsid w:val="0018182E"/>
    <w:rsid w:val="00193F33"/>
    <w:rsid w:val="001B03A7"/>
    <w:rsid w:val="001B5980"/>
    <w:rsid w:val="001C4E15"/>
    <w:rsid w:val="001D1947"/>
    <w:rsid w:val="002478C9"/>
    <w:rsid w:val="00255992"/>
    <w:rsid w:val="00262D0E"/>
    <w:rsid w:val="002656BA"/>
    <w:rsid w:val="00266B78"/>
    <w:rsid w:val="00270BA9"/>
    <w:rsid w:val="002770C5"/>
    <w:rsid w:val="00281DD8"/>
    <w:rsid w:val="002860A8"/>
    <w:rsid w:val="00290CDD"/>
    <w:rsid w:val="0029206C"/>
    <w:rsid w:val="002965FB"/>
    <w:rsid w:val="002B4830"/>
    <w:rsid w:val="002E32F7"/>
    <w:rsid w:val="00301AE1"/>
    <w:rsid w:val="003171E0"/>
    <w:rsid w:val="003414B8"/>
    <w:rsid w:val="00346F28"/>
    <w:rsid w:val="00352194"/>
    <w:rsid w:val="00363E84"/>
    <w:rsid w:val="00372465"/>
    <w:rsid w:val="00376B46"/>
    <w:rsid w:val="003B291A"/>
    <w:rsid w:val="003B32E3"/>
    <w:rsid w:val="003B3778"/>
    <w:rsid w:val="003E1136"/>
    <w:rsid w:val="003E56B8"/>
    <w:rsid w:val="00420F95"/>
    <w:rsid w:val="0043607B"/>
    <w:rsid w:val="00437D6C"/>
    <w:rsid w:val="00474E36"/>
    <w:rsid w:val="004A798E"/>
    <w:rsid w:val="004A7E69"/>
    <w:rsid w:val="004B7956"/>
    <w:rsid w:val="004C175E"/>
    <w:rsid w:val="004F5AE2"/>
    <w:rsid w:val="00517B14"/>
    <w:rsid w:val="00542956"/>
    <w:rsid w:val="005772AC"/>
    <w:rsid w:val="00594685"/>
    <w:rsid w:val="005A196A"/>
    <w:rsid w:val="005C05C3"/>
    <w:rsid w:val="005C5115"/>
    <w:rsid w:val="005D0CC8"/>
    <w:rsid w:val="005D1E4C"/>
    <w:rsid w:val="005E2BF6"/>
    <w:rsid w:val="005F2B99"/>
    <w:rsid w:val="005F7D05"/>
    <w:rsid w:val="0063291D"/>
    <w:rsid w:val="00644414"/>
    <w:rsid w:val="006521D2"/>
    <w:rsid w:val="00661D97"/>
    <w:rsid w:val="00662585"/>
    <w:rsid w:val="006867BA"/>
    <w:rsid w:val="006D422D"/>
    <w:rsid w:val="006D4329"/>
    <w:rsid w:val="006D7A41"/>
    <w:rsid w:val="00732DCD"/>
    <w:rsid w:val="0075270F"/>
    <w:rsid w:val="00757416"/>
    <w:rsid w:val="00772CEA"/>
    <w:rsid w:val="00781FF7"/>
    <w:rsid w:val="00793E5A"/>
    <w:rsid w:val="007A2419"/>
    <w:rsid w:val="007B277F"/>
    <w:rsid w:val="007B323A"/>
    <w:rsid w:val="007B67BC"/>
    <w:rsid w:val="007B6B53"/>
    <w:rsid w:val="007F7EE7"/>
    <w:rsid w:val="00801701"/>
    <w:rsid w:val="00803AC8"/>
    <w:rsid w:val="00851942"/>
    <w:rsid w:val="00854C44"/>
    <w:rsid w:val="00865BAF"/>
    <w:rsid w:val="008A19BA"/>
    <w:rsid w:val="008B71C1"/>
    <w:rsid w:val="008C18E3"/>
    <w:rsid w:val="008C50FD"/>
    <w:rsid w:val="00907FE1"/>
    <w:rsid w:val="00926A56"/>
    <w:rsid w:val="00931F64"/>
    <w:rsid w:val="00987ADB"/>
    <w:rsid w:val="00992AEA"/>
    <w:rsid w:val="009C0F34"/>
    <w:rsid w:val="009D5C8D"/>
    <w:rsid w:val="009F7FF4"/>
    <w:rsid w:val="00A04616"/>
    <w:rsid w:val="00A12CDD"/>
    <w:rsid w:val="00A13C79"/>
    <w:rsid w:val="00A24E72"/>
    <w:rsid w:val="00A637FA"/>
    <w:rsid w:val="00A81F96"/>
    <w:rsid w:val="00A84F31"/>
    <w:rsid w:val="00AB7FA3"/>
    <w:rsid w:val="00AE42A4"/>
    <w:rsid w:val="00AE4771"/>
    <w:rsid w:val="00AF30C1"/>
    <w:rsid w:val="00B16756"/>
    <w:rsid w:val="00B177E2"/>
    <w:rsid w:val="00B17EE3"/>
    <w:rsid w:val="00B80A6E"/>
    <w:rsid w:val="00B929CA"/>
    <w:rsid w:val="00BA7A04"/>
    <w:rsid w:val="00BC629D"/>
    <w:rsid w:val="00BF0647"/>
    <w:rsid w:val="00BF4874"/>
    <w:rsid w:val="00BF5F67"/>
    <w:rsid w:val="00C26741"/>
    <w:rsid w:val="00C311F2"/>
    <w:rsid w:val="00C41496"/>
    <w:rsid w:val="00C5209E"/>
    <w:rsid w:val="00C542FD"/>
    <w:rsid w:val="00C62013"/>
    <w:rsid w:val="00C663C8"/>
    <w:rsid w:val="00C7241E"/>
    <w:rsid w:val="00C7446E"/>
    <w:rsid w:val="00CA4AB9"/>
    <w:rsid w:val="00CB6116"/>
    <w:rsid w:val="00CC10C0"/>
    <w:rsid w:val="00CE19AB"/>
    <w:rsid w:val="00CF2A5A"/>
    <w:rsid w:val="00D1629A"/>
    <w:rsid w:val="00D2440B"/>
    <w:rsid w:val="00D3040E"/>
    <w:rsid w:val="00D3346B"/>
    <w:rsid w:val="00D376C1"/>
    <w:rsid w:val="00D52BD5"/>
    <w:rsid w:val="00D54A15"/>
    <w:rsid w:val="00D71DA8"/>
    <w:rsid w:val="00DB6C9B"/>
    <w:rsid w:val="00DC6516"/>
    <w:rsid w:val="00DD7019"/>
    <w:rsid w:val="00E731E1"/>
    <w:rsid w:val="00E902B6"/>
    <w:rsid w:val="00EB627A"/>
    <w:rsid w:val="00EC0412"/>
    <w:rsid w:val="00EC3734"/>
    <w:rsid w:val="00F075A8"/>
    <w:rsid w:val="00F16E6B"/>
    <w:rsid w:val="00FA6769"/>
    <w:rsid w:val="00FA791D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o.admin.ch/seco/de/home/Aussenwirtschaftspolitik_Wirtschaftliche_Zusammenarbeit/Wirtschaftsbeziehungen/exportkontrollen-und-sanktionen/sanktionen-embargos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o@treuhandsuisse.ch" TargetMode="External"/><Relationship Id="rId1" Type="http://schemas.openxmlformats.org/officeDocument/2006/relationships/hyperlink" Target="http://www.sro-treuhandsuiss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4995-EC55-4307-9D48-7AD4D352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Jacqueline Rosales</cp:lastModifiedBy>
  <cp:revision>37</cp:revision>
  <cp:lastPrinted>2018-04-12T13:54:00Z</cp:lastPrinted>
  <dcterms:created xsi:type="dcterms:W3CDTF">2017-05-05T12:43:00Z</dcterms:created>
  <dcterms:modified xsi:type="dcterms:W3CDTF">2018-04-12T13:54:00Z</dcterms:modified>
</cp:coreProperties>
</file>