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93C9" w14:textId="77777777" w:rsidR="00A04616" w:rsidRPr="00946EAB" w:rsidRDefault="00C542FD">
      <w:r>
        <w:rPr>
          <w:rFonts w:ascii="Arial" w:hAnsi="Arial" w:cs="Arial"/>
          <w:noProof/>
          <w:lang w:val="de-CH" w:eastAsia="de-CH" w:bidi="ar-SA"/>
        </w:rPr>
        <w:drawing>
          <wp:anchor distT="0" distB="0" distL="114300" distR="114300" simplePos="0" relativeHeight="251659264" behindDoc="1" locked="0" layoutInCell="1" allowOverlap="1" wp14:anchorId="296EB188" wp14:editId="7539CE5E">
            <wp:simplePos x="0" y="0"/>
            <wp:positionH relativeFrom="column">
              <wp:posOffset>4310380</wp:posOffset>
            </wp:positionH>
            <wp:positionV relativeFrom="paragraph">
              <wp:posOffset>-704914</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890" cy="791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73EF2" w14:textId="5677E078" w:rsidR="000561E4" w:rsidRPr="00946EAB" w:rsidRDefault="0037254C" w:rsidP="000561E4">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Tenuta dell’incarto LRD del cliente</w:t>
      </w:r>
    </w:p>
    <w:p w14:paraId="4FEB4385" w14:textId="6564D290" w:rsidR="009F64E3" w:rsidRPr="00946EAB" w:rsidRDefault="00BE46E5" w:rsidP="000561E4">
      <w:pPr>
        <w:tabs>
          <w:tab w:val="left" w:pos="2835"/>
        </w:tabs>
        <w:overflowPunct w:val="0"/>
        <w:autoSpaceDE w:val="0"/>
        <w:autoSpaceDN w:val="0"/>
        <w:adjustRightInd w:val="0"/>
        <w:spacing w:after="0" w:line="240" w:lineRule="auto"/>
        <w:ind w:right="-142"/>
        <w:textAlignment w:val="baseline"/>
        <w:rPr>
          <w:rFonts w:ascii="Arial" w:hAnsi="Arial" w:cs="Arial"/>
          <w:bCs/>
          <w:sz w:val="20"/>
          <w:szCs w:val="20"/>
        </w:rPr>
      </w:pPr>
      <w:r>
        <w:rPr>
          <w:rFonts w:ascii="Arial" w:hAnsi="Arial"/>
          <w:sz w:val="20"/>
        </w:rPr>
        <w:t>Valido dal 1.1.2016</w:t>
      </w:r>
    </w:p>
    <w:p w14:paraId="6F588C29" w14:textId="77777777" w:rsidR="000561E4" w:rsidRPr="00946EAB" w:rsidRDefault="000561E4" w:rsidP="000561E4">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p>
    <w:p w14:paraId="71BBF30C" w14:textId="3D2AFEDF" w:rsidR="000561E4" w:rsidRPr="00946EAB" w:rsidRDefault="000561E4" w:rsidP="00281065">
      <w:pPr>
        <w:shd w:val="clear" w:color="auto" w:fill="D9D9D9" w:themeFill="background1" w:themeFillShade="D9"/>
        <w:overflowPunct w:val="0"/>
        <w:autoSpaceDE w:val="0"/>
        <w:autoSpaceDN w:val="0"/>
        <w:adjustRightInd w:val="0"/>
        <w:spacing w:line="240" w:lineRule="auto"/>
        <w:ind w:right="-199"/>
        <w:jc w:val="both"/>
        <w:textAlignment w:val="baseline"/>
        <w:rPr>
          <w:rFonts w:ascii="Arial" w:eastAsia="Times New Roman" w:hAnsi="Arial" w:cs="Arial"/>
          <w:b/>
          <w:sz w:val="20"/>
          <w:szCs w:val="20"/>
        </w:rPr>
      </w:pPr>
      <w:r>
        <w:rPr>
          <w:rFonts w:ascii="Arial" w:hAnsi="Arial"/>
          <w:b/>
          <w:sz w:val="20"/>
        </w:rPr>
        <w:t>Obbligo alla tenuta dell’incarto LRD del cliente</w:t>
      </w:r>
    </w:p>
    <w:p w14:paraId="09CE31AB" w14:textId="3D148132" w:rsidR="0037254C" w:rsidRPr="00946EAB" w:rsidRDefault="0037254C" w:rsidP="00281065">
      <w:pPr>
        <w:overflowPunct w:val="0"/>
        <w:autoSpaceDE w:val="0"/>
        <w:autoSpaceDN w:val="0"/>
        <w:adjustRightInd w:val="0"/>
        <w:spacing w:line="240" w:lineRule="auto"/>
        <w:ind w:right="-199"/>
        <w:jc w:val="both"/>
        <w:textAlignment w:val="baseline"/>
        <w:rPr>
          <w:rFonts w:ascii="Arial" w:eastAsia="Times New Roman" w:hAnsi="Arial" w:cs="Arial"/>
          <w:sz w:val="20"/>
          <w:szCs w:val="20"/>
        </w:rPr>
      </w:pPr>
      <w:r>
        <w:rPr>
          <w:rFonts w:ascii="Arial" w:hAnsi="Arial"/>
          <w:sz w:val="20"/>
        </w:rPr>
        <w:t>Gli intermediari finanziari devono allestire i documenti e i giustificativi relativi alle loro relazioni d'affari con le controparti e alle transazioni effettuate in modo da consentire a terzi con competenze specifiche (in particolare all'OAD, ai suoi organi di controllo e alla FINMA) di formarsi un giudizio attendibile sull'ottemperanza al Regolamento OAD e alla legge federale concernente la lotta contro il riciclaggio di denaro unitamente alle disposizioni esecutive da parte dell'intermediario finanziario (</w:t>
      </w:r>
      <w:proofErr w:type="spellStart"/>
      <w:r>
        <w:rPr>
          <w:rFonts w:ascii="Arial" w:hAnsi="Arial"/>
          <w:sz w:val="20"/>
        </w:rPr>
        <w:t>cif</w:t>
      </w:r>
      <w:proofErr w:type="spellEnd"/>
      <w:r>
        <w:rPr>
          <w:rFonts w:ascii="Arial" w:hAnsi="Arial"/>
          <w:sz w:val="20"/>
        </w:rPr>
        <w:t>. 6.1.1 del Regolamento OAD).</w:t>
      </w:r>
    </w:p>
    <w:p w14:paraId="189BE8BC" w14:textId="79F3A20F" w:rsidR="000561E4" w:rsidRPr="00946EAB" w:rsidRDefault="0037254C" w:rsidP="00281065">
      <w:pPr>
        <w:overflowPunct w:val="0"/>
        <w:autoSpaceDE w:val="0"/>
        <w:autoSpaceDN w:val="0"/>
        <w:adjustRightInd w:val="0"/>
        <w:spacing w:line="240" w:lineRule="auto"/>
        <w:ind w:right="-199"/>
        <w:jc w:val="both"/>
        <w:textAlignment w:val="baseline"/>
        <w:rPr>
          <w:rFonts w:ascii="Arial" w:eastAsia="Times New Roman" w:hAnsi="Arial" w:cs="Arial"/>
          <w:sz w:val="20"/>
          <w:szCs w:val="20"/>
        </w:rPr>
      </w:pPr>
      <w:r>
        <w:rPr>
          <w:rFonts w:ascii="Arial" w:hAnsi="Arial"/>
          <w:sz w:val="20"/>
        </w:rPr>
        <w:t>I documenti e i giustificativi devono essere allestiti e custoditi in modo che l'intermediario finanziario sia in grado di soddisfare entro il termine previsto eventuali richieste di informazioni e di sequestro da parte delle autorità di perseguimento penale. I documenti e i giustificativi devono permettere di ricostruire le singole transazioni (</w:t>
      </w:r>
      <w:proofErr w:type="spellStart"/>
      <w:r>
        <w:rPr>
          <w:rFonts w:ascii="Arial" w:hAnsi="Arial"/>
          <w:sz w:val="20"/>
        </w:rPr>
        <w:t>cif</w:t>
      </w:r>
      <w:proofErr w:type="spellEnd"/>
      <w:r>
        <w:rPr>
          <w:rFonts w:ascii="Arial" w:hAnsi="Arial"/>
          <w:sz w:val="20"/>
        </w:rPr>
        <w:t>. 6.1.2 del Regolamento OAD).</w:t>
      </w:r>
    </w:p>
    <w:p w14:paraId="5A016BCB" w14:textId="202C3591" w:rsidR="00DD7019" w:rsidRPr="00946EAB" w:rsidRDefault="000561E4" w:rsidP="00281065">
      <w:pPr>
        <w:overflowPunct w:val="0"/>
        <w:autoSpaceDE w:val="0"/>
        <w:autoSpaceDN w:val="0"/>
        <w:adjustRightInd w:val="0"/>
        <w:spacing w:line="240" w:lineRule="auto"/>
        <w:ind w:right="-199"/>
        <w:jc w:val="both"/>
        <w:textAlignment w:val="baseline"/>
        <w:rPr>
          <w:rFonts w:ascii="Arial" w:eastAsia="Times New Roman" w:hAnsi="Arial" w:cs="Arial"/>
          <w:sz w:val="20"/>
          <w:szCs w:val="20"/>
        </w:rPr>
      </w:pPr>
      <w:r>
        <w:rPr>
          <w:rFonts w:ascii="Arial" w:hAnsi="Arial"/>
          <w:sz w:val="20"/>
        </w:rPr>
        <w:t>La tenuta degli incarti è disciplinata dalle disposizioni legislative vigenti e dal Regolamento OAD. L’adempimento dei singoli obblighi deve essere documentato per iscritto.</w:t>
      </w:r>
    </w:p>
    <w:p w14:paraId="20E82413" w14:textId="1FE34145" w:rsidR="008F37F7" w:rsidRPr="00946EAB" w:rsidRDefault="001F7225" w:rsidP="00281065">
      <w:pPr>
        <w:shd w:val="clear" w:color="auto" w:fill="D9D9D9" w:themeFill="background1" w:themeFillShade="D9"/>
        <w:overflowPunct w:val="0"/>
        <w:autoSpaceDE w:val="0"/>
        <w:autoSpaceDN w:val="0"/>
        <w:adjustRightInd w:val="0"/>
        <w:spacing w:line="240" w:lineRule="auto"/>
        <w:ind w:right="-199"/>
        <w:jc w:val="both"/>
        <w:textAlignment w:val="baseline"/>
        <w:rPr>
          <w:rStyle w:val="st"/>
          <w:rFonts w:ascii="Arial" w:eastAsia="Times New Roman" w:hAnsi="Arial" w:cs="Arial"/>
          <w:b/>
          <w:sz w:val="20"/>
          <w:szCs w:val="20"/>
        </w:rPr>
      </w:pPr>
      <w:r>
        <w:rPr>
          <w:rFonts w:ascii="Arial" w:hAnsi="Arial"/>
          <w:b/>
          <w:sz w:val="20"/>
        </w:rPr>
        <w:t>Identificazione della controparte</w:t>
      </w:r>
    </w:p>
    <w:p w14:paraId="3DC7323E" w14:textId="3091CAA8" w:rsidR="00C46BF1" w:rsidRPr="00946EAB" w:rsidRDefault="00C46BF1"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Al momento dell'avvio di una relazione d'affari, l'intermediario finanziario identifica la controparte (</w:t>
      </w:r>
      <w:proofErr w:type="spellStart"/>
      <w:r>
        <w:rPr>
          <w:rStyle w:val="st"/>
          <w:rFonts w:ascii="Arial" w:hAnsi="Arial"/>
          <w:sz w:val="20"/>
        </w:rPr>
        <w:t>cif</w:t>
      </w:r>
      <w:proofErr w:type="spellEnd"/>
      <w:r>
        <w:rPr>
          <w:rStyle w:val="st"/>
          <w:rFonts w:ascii="Arial" w:hAnsi="Arial"/>
          <w:sz w:val="20"/>
        </w:rPr>
        <w:t>. 3.1 cpv. 1 del Regolamento OAD).</w:t>
      </w:r>
    </w:p>
    <w:p w14:paraId="14DBC006" w14:textId="6FD5D18F" w:rsidR="00AB6E9C" w:rsidRPr="00946EAB" w:rsidRDefault="001F7225"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L’identificazione della controparte può avvenire tramite il formulario «Identificazione». Ci si attiene al Regolamento OAD e alle disposizioni vigenti.</w:t>
      </w:r>
    </w:p>
    <w:p w14:paraId="5EEFF90F" w14:textId="1C7872AE" w:rsidR="00806554" w:rsidRPr="00946EAB" w:rsidRDefault="00AB6E9C"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 xml:space="preserve">In uno dei seguenti casi, l’intermediario finanziario deve accertare le categorie di rischio ai sensi della </w:t>
      </w:r>
      <w:proofErr w:type="spellStart"/>
      <w:r>
        <w:rPr>
          <w:rStyle w:val="st"/>
          <w:rFonts w:ascii="Arial" w:hAnsi="Arial"/>
          <w:sz w:val="20"/>
        </w:rPr>
        <w:t>cif</w:t>
      </w:r>
      <w:proofErr w:type="spellEnd"/>
      <w:r>
        <w:rPr>
          <w:rStyle w:val="st"/>
          <w:rFonts w:ascii="Arial" w:hAnsi="Arial"/>
          <w:sz w:val="20"/>
        </w:rPr>
        <w:t>. 5.1 cpv. 2 del Regolamento OAD, in particolare i retroscena economici e lo scopo di una transazione o di una relazione d’affari:</w:t>
      </w:r>
    </w:p>
    <w:p w14:paraId="44B5D6D4" w14:textId="0F9F48D2" w:rsidR="00AB6E9C" w:rsidRPr="00946EAB" w:rsidRDefault="00AB6E9C" w:rsidP="00281065">
      <w:pPr>
        <w:pStyle w:val="KeinLeerraum"/>
        <w:numPr>
          <w:ilvl w:val="0"/>
          <w:numId w:val="11"/>
        </w:numPr>
        <w:tabs>
          <w:tab w:val="left" w:pos="5670"/>
        </w:tabs>
        <w:spacing w:after="160"/>
        <w:ind w:left="714" w:hanging="357"/>
        <w:contextualSpacing/>
        <w:jc w:val="both"/>
        <w:rPr>
          <w:rStyle w:val="st"/>
          <w:rFonts w:ascii="Arial" w:hAnsi="Arial" w:cs="Arial"/>
          <w:sz w:val="20"/>
          <w:szCs w:val="20"/>
        </w:rPr>
      </w:pPr>
      <w:r>
        <w:rPr>
          <w:rStyle w:val="st"/>
          <w:rFonts w:ascii="Arial" w:hAnsi="Arial"/>
          <w:sz w:val="20"/>
        </w:rPr>
        <w:t>in presenza di una relazione d'affari caratterizzata da rischio superiore secondo la cifra 5.2 del Regolamento OAD;</w:t>
      </w:r>
    </w:p>
    <w:p w14:paraId="47F20F6C" w14:textId="7B66F452" w:rsidR="00AB6E9C" w:rsidRPr="00946EAB" w:rsidRDefault="00AB6E9C" w:rsidP="00281065">
      <w:pPr>
        <w:pStyle w:val="KeinLeerraum"/>
        <w:numPr>
          <w:ilvl w:val="0"/>
          <w:numId w:val="11"/>
        </w:numPr>
        <w:tabs>
          <w:tab w:val="left" w:pos="5670"/>
        </w:tabs>
        <w:spacing w:after="160"/>
        <w:ind w:left="714" w:hanging="357"/>
        <w:contextualSpacing/>
        <w:jc w:val="both"/>
        <w:rPr>
          <w:rStyle w:val="st"/>
          <w:rFonts w:ascii="Arial" w:hAnsi="Arial" w:cs="Arial"/>
          <w:sz w:val="20"/>
          <w:szCs w:val="20"/>
        </w:rPr>
      </w:pPr>
      <w:r>
        <w:rPr>
          <w:rStyle w:val="st"/>
          <w:rFonts w:ascii="Arial" w:hAnsi="Arial"/>
          <w:sz w:val="20"/>
        </w:rPr>
        <w:t>in presenza di una transazione caratterizzata da rischio superiore secondo la cifra 5.3 del Regolamento OAD;</w:t>
      </w:r>
    </w:p>
    <w:p w14:paraId="5770A106" w14:textId="6CE72488" w:rsidR="00AB6E9C" w:rsidRPr="00946EAB" w:rsidRDefault="00AB6E9C" w:rsidP="00281065">
      <w:pPr>
        <w:pStyle w:val="KeinLeerraum"/>
        <w:numPr>
          <w:ilvl w:val="0"/>
          <w:numId w:val="11"/>
        </w:numPr>
        <w:tabs>
          <w:tab w:val="left" w:pos="5670"/>
        </w:tabs>
        <w:spacing w:after="160"/>
        <w:ind w:left="714" w:hanging="357"/>
        <w:jc w:val="both"/>
        <w:rPr>
          <w:rStyle w:val="st"/>
          <w:rFonts w:ascii="Arial" w:hAnsi="Arial" w:cs="Arial"/>
          <w:sz w:val="20"/>
          <w:szCs w:val="20"/>
        </w:rPr>
      </w:pPr>
      <w:r>
        <w:rPr>
          <w:rStyle w:val="st"/>
          <w:rFonts w:ascii="Arial" w:hAnsi="Arial"/>
          <w:sz w:val="20"/>
        </w:rPr>
        <w:t>qualora si presentino fattispecie secondo l'art. 6 della LRD che richiedono chiarimenti speciali.</w:t>
      </w:r>
    </w:p>
    <w:p w14:paraId="2075C962" w14:textId="5D16192D" w:rsidR="00806554" w:rsidRPr="00946EAB" w:rsidRDefault="00AB6E9C"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 xml:space="preserve">La portata dell’obbligo di accertamento è determinata in base alla </w:t>
      </w:r>
      <w:proofErr w:type="spellStart"/>
      <w:r>
        <w:rPr>
          <w:rStyle w:val="st"/>
          <w:rFonts w:ascii="Arial" w:hAnsi="Arial"/>
          <w:sz w:val="20"/>
        </w:rPr>
        <w:t>cif</w:t>
      </w:r>
      <w:proofErr w:type="spellEnd"/>
      <w:r>
        <w:rPr>
          <w:rStyle w:val="st"/>
          <w:rFonts w:ascii="Arial" w:hAnsi="Arial"/>
          <w:sz w:val="20"/>
        </w:rPr>
        <w:t>. 5.3.3 del Regolamento OAD.</w:t>
      </w:r>
    </w:p>
    <w:p w14:paraId="5C27C5F8" w14:textId="4417A5D2" w:rsidR="00C46BF1" w:rsidRPr="00946EAB" w:rsidRDefault="00806554"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 xml:space="preserve">Se l'intermediario finanziario constata che una dichiarazione antecedente non corrisponde più alla realtà economica, rispettivamente se durante il rapporto d'affari con il cliente dovessero sorgere dubbi circa l'identità della controparte, del detentore del controllo o dell'avente economicamente diritto, l'intermediario finanziario deve esigere dalla controparte una nuova identificazione o eseguire nuovamente l'accertamento del detentore del controllo o dell'avente economicamente diritto. Se la controparte rifiuta di rinnovare la sua identificazione o quella relativa al detentore del controllo o all'avente economicamente diritto senza indicarne un motivo valido, l'intermediario finanziario deve interrompere la relazione d'affari. Per il resto si applicano le disposizioni di cui alla </w:t>
      </w:r>
      <w:proofErr w:type="spellStart"/>
      <w:r>
        <w:rPr>
          <w:rStyle w:val="st"/>
          <w:rFonts w:ascii="Arial" w:hAnsi="Arial"/>
          <w:sz w:val="20"/>
        </w:rPr>
        <w:t>cif</w:t>
      </w:r>
      <w:proofErr w:type="spellEnd"/>
      <w:r>
        <w:rPr>
          <w:rStyle w:val="st"/>
          <w:rFonts w:ascii="Arial" w:hAnsi="Arial"/>
          <w:sz w:val="20"/>
        </w:rPr>
        <w:t>. 4.6 del Regolamento OAD.</w:t>
      </w:r>
    </w:p>
    <w:p w14:paraId="32544713" w14:textId="33E7AA05" w:rsidR="00C46BF1" w:rsidRPr="00946EAB" w:rsidRDefault="00806554"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 xml:space="preserve">Se si coinvolgono terzi nell’adempimento degli obblighi di diligenza relativi all’identificazione della controparte, all’accertamento della/e persona/e avente/i economicamente diritto, all’accertamento del detentore del controllo, alla nuova identificazione o al nuovo accertamento della/e persona/e avente/i economicamente diritto e all’esecuzione degli accertamenti particolari, occorre attenersi altresì alle disposizioni di cui alla </w:t>
      </w:r>
      <w:proofErr w:type="spellStart"/>
      <w:r>
        <w:rPr>
          <w:rStyle w:val="st"/>
          <w:rFonts w:ascii="Arial" w:hAnsi="Arial"/>
          <w:sz w:val="20"/>
        </w:rPr>
        <w:t>cif</w:t>
      </w:r>
      <w:proofErr w:type="spellEnd"/>
      <w:r>
        <w:rPr>
          <w:rStyle w:val="st"/>
          <w:rFonts w:ascii="Arial" w:hAnsi="Arial"/>
          <w:sz w:val="20"/>
        </w:rPr>
        <w:t>. 6.2 del Regolamento OAD.</w:t>
      </w:r>
    </w:p>
    <w:p w14:paraId="597263AC" w14:textId="1893C84E" w:rsidR="008B3CF1" w:rsidRPr="00946EAB" w:rsidRDefault="008B3CF1" w:rsidP="00281065">
      <w:pPr>
        <w:pStyle w:val="KeinLeerraum"/>
        <w:tabs>
          <w:tab w:val="left" w:pos="5670"/>
        </w:tabs>
        <w:spacing w:after="160"/>
        <w:jc w:val="both"/>
        <w:rPr>
          <w:rStyle w:val="st"/>
          <w:rFonts w:ascii="Arial" w:hAnsi="Arial" w:cs="Arial"/>
          <w:sz w:val="20"/>
          <w:szCs w:val="20"/>
        </w:rPr>
      </w:pPr>
    </w:p>
    <w:p w14:paraId="787819E5" w14:textId="5FDF0DB8" w:rsidR="008B3CF1" w:rsidRPr="00946EAB" w:rsidRDefault="008B3CF1" w:rsidP="00281065">
      <w:pPr>
        <w:pStyle w:val="KeinLeerraum"/>
        <w:tabs>
          <w:tab w:val="left" w:pos="5670"/>
        </w:tabs>
        <w:spacing w:after="160"/>
        <w:jc w:val="both"/>
        <w:rPr>
          <w:rStyle w:val="st"/>
          <w:rFonts w:ascii="Arial" w:hAnsi="Arial" w:cs="Arial"/>
          <w:sz w:val="20"/>
          <w:szCs w:val="20"/>
        </w:rPr>
      </w:pPr>
    </w:p>
    <w:p w14:paraId="0B1E29E2" w14:textId="424BF154" w:rsidR="008B3CF1" w:rsidRPr="00946EAB" w:rsidRDefault="008B3CF1" w:rsidP="00281065">
      <w:pPr>
        <w:pStyle w:val="KeinLeerraum"/>
        <w:tabs>
          <w:tab w:val="left" w:pos="5670"/>
        </w:tabs>
        <w:spacing w:after="160"/>
        <w:jc w:val="both"/>
        <w:rPr>
          <w:rStyle w:val="st"/>
          <w:rFonts w:ascii="Arial" w:hAnsi="Arial" w:cs="Arial"/>
          <w:sz w:val="20"/>
          <w:szCs w:val="20"/>
        </w:rPr>
      </w:pPr>
    </w:p>
    <w:p w14:paraId="7675EC91" w14:textId="651ED4E0" w:rsidR="008B3CF1" w:rsidRPr="00946EAB" w:rsidRDefault="008B3CF1" w:rsidP="00281065">
      <w:pPr>
        <w:pStyle w:val="KeinLeerraum"/>
        <w:tabs>
          <w:tab w:val="left" w:pos="5670"/>
        </w:tabs>
        <w:spacing w:after="160"/>
        <w:jc w:val="both"/>
        <w:rPr>
          <w:rStyle w:val="st"/>
          <w:rFonts w:ascii="Arial" w:hAnsi="Arial" w:cs="Arial"/>
          <w:sz w:val="20"/>
          <w:szCs w:val="20"/>
        </w:rPr>
      </w:pPr>
    </w:p>
    <w:p w14:paraId="33C077F3" w14:textId="77777777" w:rsidR="008B3CF1" w:rsidRPr="00946EAB" w:rsidRDefault="008B3CF1" w:rsidP="00281065">
      <w:pPr>
        <w:pStyle w:val="KeinLeerraum"/>
        <w:tabs>
          <w:tab w:val="left" w:pos="5670"/>
        </w:tabs>
        <w:spacing w:after="160"/>
        <w:jc w:val="both"/>
        <w:rPr>
          <w:rFonts w:ascii="Arial" w:hAnsi="Arial" w:cs="Arial"/>
          <w:sz w:val="20"/>
          <w:szCs w:val="20"/>
        </w:rPr>
      </w:pPr>
    </w:p>
    <w:p w14:paraId="10909BB7" w14:textId="662C7799" w:rsidR="00C46BF1" w:rsidRPr="00946EAB" w:rsidRDefault="00C46BF1" w:rsidP="00281065">
      <w:pPr>
        <w:shd w:val="clear" w:color="auto" w:fill="D9D9D9" w:themeFill="background1" w:themeFillShade="D9"/>
        <w:overflowPunct w:val="0"/>
        <w:autoSpaceDE w:val="0"/>
        <w:autoSpaceDN w:val="0"/>
        <w:adjustRightInd w:val="0"/>
        <w:spacing w:line="240" w:lineRule="auto"/>
        <w:ind w:right="-199"/>
        <w:jc w:val="both"/>
        <w:textAlignment w:val="baseline"/>
        <w:rPr>
          <w:rStyle w:val="st"/>
          <w:rFonts w:ascii="Arial" w:eastAsia="Times New Roman" w:hAnsi="Arial" w:cs="Arial"/>
          <w:b/>
          <w:sz w:val="20"/>
          <w:szCs w:val="20"/>
        </w:rPr>
      </w:pPr>
      <w:r>
        <w:rPr>
          <w:rFonts w:ascii="Arial" w:hAnsi="Arial"/>
          <w:b/>
          <w:sz w:val="20"/>
        </w:rPr>
        <w:t>Custodia dei documenti</w:t>
      </w:r>
    </w:p>
    <w:p w14:paraId="612954E6" w14:textId="63200090" w:rsidR="00C46BF1" w:rsidRPr="00946EAB" w:rsidRDefault="00C46BF1" w:rsidP="00281065">
      <w:pPr>
        <w:pStyle w:val="KeinLeerraum"/>
        <w:tabs>
          <w:tab w:val="left" w:pos="5670"/>
        </w:tabs>
        <w:spacing w:after="160"/>
        <w:jc w:val="both"/>
        <w:rPr>
          <w:rStyle w:val="st"/>
          <w:rFonts w:ascii="Arial" w:eastAsia="Times New Roman" w:hAnsi="Arial" w:cs="Arial"/>
          <w:sz w:val="20"/>
          <w:szCs w:val="20"/>
        </w:rPr>
      </w:pPr>
      <w:r>
        <w:rPr>
          <w:rFonts w:ascii="Arial" w:hAnsi="Arial"/>
          <w:sz w:val="20"/>
        </w:rPr>
        <w:t xml:space="preserve">Attenersi agli obblighi di custodia dei documenti di cui alla </w:t>
      </w:r>
      <w:proofErr w:type="spellStart"/>
      <w:r>
        <w:rPr>
          <w:rFonts w:ascii="Arial" w:hAnsi="Arial"/>
          <w:sz w:val="20"/>
        </w:rPr>
        <w:t>cif</w:t>
      </w:r>
      <w:proofErr w:type="spellEnd"/>
      <w:r>
        <w:rPr>
          <w:rFonts w:ascii="Arial" w:hAnsi="Arial"/>
          <w:sz w:val="20"/>
        </w:rPr>
        <w:t xml:space="preserve">. 6.1.2 del Regolamento OAD. </w:t>
      </w:r>
    </w:p>
    <w:p w14:paraId="6A2F5925" w14:textId="1859AF7F" w:rsidR="005E53E5" w:rsidRPr="00946EAB" w:rsidRDefault="00C46BF1" w:rsidP="00281065">
      <w:pPr>
        <w:pStyle w:val="KeinLeerraum"/>
        <w:tabs>
          <w:tab w:val="left" w:pos="5670"/>
        </w:tabs>
        <w:spacing w:after="160"/>
        <w:jc w:val="both"/>
        <w:rPr>
          <w:rFonts w:ascii="Arial" w:eastAsia="Times New Roman" w:hAnsi="Arial" w:cs="Arial"/>
          <w:sz w:val="20"/>
          <w:szCs w:val="20"/>
        </w:rPr>
      </w:pPr>
      <w:r>
        <w:rPr>
          <w:rStyle w:val="st"/>
          <w:rFonts w:ascii="Arial" w:hAnsi="Arial"/>
          <w:sz w:val="20"/>
        </w:rPr>
        <w:t>I documenti e i giustificativi devono essere custoditi in Svizzera in un luogo sicuro e sempre accessibile.  L’obbligo di custodia dura dieci anni dalla conclusione di un’operazione. L’obbligo decorre a partire dalla data dell’operazione. In caso di scioglimento della relazione d’affari bisogna custodire i documenti per l’identificazione della controparte o le rispettive copie fino a dieci anni dalla cessazione del rapporto contrattuale (</w:t>
      </w:r>
      <w:proofErr w:type="spellStart"/>
      <w:r>
        <w:rPr>
          <w:rFonts w:ascii="Arial" w:hAnsi="Arial"/>
          <w:sz w:val="20"/>
        </w:rPr>
        <w:t>cif</w:t>
      </w:r>
      <w:proofErr w:type="spellEnd"/>
      <w:r>
        <w:rPr>
          <w:rFonts w:ascii="Arial" w:hAnsi="Arial"/>
          <w:sz w:val="20"/>
        </w:rPr>
        <w:t xml:space="preserve">. 6.1.2 cpv. 2 del Regolamento OAD). </w:t>
      </w:r>
    </w:p>
    <w:p w14:paraId="43AE6744" w14:textId="778A26B3" w:rsidR="008B3CF1" w:rsidRPr="00946EAB" w:rsidRDefault="008B3CF1" w:rsidP="00281065">
      <w:pPr>
        <w:pStyle w:val="KeinLeerraum"/>
        <w:tabs>
          <w:tab w:val="left" w:pos="5670"/>
        </w:tabs>
        <w:spacing w:after="160"/>
        <w:jc w:val="both"/>
        <w:rPr>
          <w:rFonts w:ascii="Arial" w:eastAsia="Times New Roman" w:hAnsi="Arial" w:cs="Arial"/>
          <w:sz w:val="20"/>
          <w:szCs w:val="20"/>
        </w:rPr>
      </w:pPr>
    </w:p>
    <w:p w14:paraId="09FB9A6A" w14:textId="3F0ED3ED" w:rsidR="008B3CF1" w:rsidRPr="00946EAB" w:rsidRDefault="008B3CF1" w:rsidP="00281065">
      <w:pPr>
        <w:pStyle w:val="KeinLeerraum"/>
        <w:tabs>
          <w:tab w:val="left" w:pos="5670"/>
        </w:tabs>
        <w:spacing w:after="160"/>
        <w:jc w:val="both"/>
        <w:rPr>
          <w:rFonts w:ascii="Arial" w:eastAsia="Times New Roman" w:hAnsi="Arial" w:cs="Arial"/>
          <w:sz w:val="20"/>
          <w:szCs w:val="20"/>
        </w:rPr>
      </w:pPr>
      <w:r>
        <w:rPr>
          <w:rFonts w:ascii="Arial" w:hAnsi="Arial"/>
          <w:sz w:val="20"/>
        </w:rPr>
        <w:t>Commissione OAD, 3 maggio 2017</w:t>
      </w:r>
    </w:p>
    <w:p w14:paraId="689C1F49" w14:textId="2676495E" w:rsidR="008B3CF1" w:rsidRPr="00946EAB" w:rsidRDefault="008B3CF1" w:rsidP="00281065">
      <w:pPr>
        <w:pStyle w:val="KeinLeerraum"/>
        <w:tabs>
          <w:tab w:val="left" w:pos="5670"/>
        </w:tabs>
        <w:spacing w:after="160"/>
        <w:jc w:val="both"/>
        <w:rPr>
          <w:rFonts w:ascii="Arial" w:eastAsia="Times New Roman" w:hAnsi="Arial" w:cs="Arial"/>
          <w:sz w:val="20"/>
          <w:szCs w:val="20"/>
        </w:rPr>
      </w:pPr>
    </w:p>
    <w:p w14:paraId="22E966D4" w14:textId="77777777" w:rsidR="008B3CF1" w:rsidRPr="00946EAB" w:rsidRDefault="008B3CF1" w:rsidP="00281065">
      <w:pPr>
        <w:pStyle w:val="KeinLeerraum"/>
        <w:tabs>
          <w:tab w:val="left" w:pos="5670"/>
        </w:tabs>
        <w:spacing w:after="160"/>
        <w:jc w:val="both"/>
        <w:rPr>
          <w:rStyle w:val="st"/>
          <w:rFonts w:ascii="Arial" w:hAnsi="Arial" w:cs="Arial"/>
          <w:sz w:val="20"/>
          <w:szCs w:val="20"/>
        </w:rPr>
      </w:pPr>
    </w:p>
    <w:p w14:paraId="5890DA55" w14:textId="34709213" w:rsidR="00806554" w:rsidRPr="00946EAB" w:rsidRDefault="00806554" w:rsidP="005E53E5">
      <w:pPr>
        <w:jc w:val="right"/>
      </w:pPr>
      <w:bookmarkStart w:id="0" w:name="_GoBack"/>
      <w:bookmarkEnd w:id="0"/>
    </w:p>
    <w:sectPr w:rsidR="00806554" w:rsidRPr="00946EAB" w:rsidSect="00234D3F">
      <w:headerReference w:type="default" r:id="rId9"/>
      <w:footerReference w:type="default" r:id="rId10"/>
      <w:footerReference w:type="first" r:id="rId11"/>
      <w:type w:val="continuous"/>
      <w:pgSz w:w="11906" w:h="16838"/>
      <w:pgMar w:top="1418"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91CF" w14:textId="77777777" w:rsidR="005D7A4D" w:rsidRDefault="005D7A4D" w:rsidP="00A04616">
      <w:pPr>
        <w:spacing w:after="0" w:line="240" w:lineRule="auto"/>
      </w:pPr>
      <w:r>
        <w:separator/>
      </w:r>
    </w:p>
  </w:endnote>
  <w:endnote w:type="continuationSeparator" w:id="0">
    <w:p w14:paraId="09AA3F16" w14:textId="77777777" w:rsidR="005D7A4D" w:rsidRDefault="005D7A4D"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353052"/>
      <w:docPartObj>
        <w:docPartGallery w:val="Page Numbers (Top of Page)"/>
        <w:docPartUnique/>
      </w:docPartObj>
    </w:sdtPr>
    <w:sdtContent>
      <w:p w14:paraId="67361E58" w14:textId="77777777" w:rsidR="00234D3F" w:rsidRDefault="00234D3F" w:rsidP="00234D3F">
        <w:pPr>
          <w:pStyle w:val="Fuzeile"/>
          <w:jc w:val="center"/>
          <w:rPr>
            <w:sz w:val="18"/>
            <w:szCs w:val="18"/>
          </w:rPr>
        </w:pPr>
      </w:p>
      <w:p w14:paraId="22370A43" w14:textId="00DE3446" w:rsidR="00234D3F" w:rsidRPr="00862390" w:rsidRDefault="00234D3F" w:rsidP="00234D3F">
        <w:pPr>
          <w:pStyle w:val="Fuzeile"/>
          <w:jc w:val="center"/>
          <w:rPr>
            <w:sz w:val="18"/>
            <w:szCs w:val="18"/>
            <w:lang w:val="it-CH"/>
          </w:rPr>
        </w:pPr>
        <w:r>
          <w:rPr>
            <w:sz w:val="18"/>
            <w:szCs w:val="18"/>
          </w:rPr>
          <w:t>Incarto LRD</w:t>
        </w:r>
        <w:r>
          <w:rPr>
            <w:sz w:val="18"/>
            <w:szCs w:val="18"/>
            <w:lang w:val="it-CH"/>
          </w:rPr>
          <w:tab/>
          <w:t xml:space="preserve">        OAD</w:t>
        </w:r>
        <w:r w:rsidRPr="00862390">
          <w:rPr>
            <w:rFonts w:ascii="Calibri" w:hAnsi="Calibri" w:cs="Arial"/>
            <w:sz w:val="18"/>
            <w:szCs w:val="18"/>
            <w:lang w:val="it-CH"/>
          </w:rPr>
          <w:t>-</w:t>
        </w:r>
        <w:r>
          <w:rPr>
            <w:rFonts w:ascii="Calibri" w:hAnsi="Calibri" w:cs="Arial"/>
            <w:sz w:val="18"/>
            <w:szCs w:val="18"/>
            <w:lang w:val="it-CH"/>
          </w:rPr>
          <w:t>FIDUCIARI</w:t>
        </w:r>
        <w:r w:rsidRPr="00862390">
          <w:rPr>
            <w:rFonts w:ascii="Calibri" w:hAnsi="Calibri" w:cs="Arial"/>
            <w:sz w:val="18"/>
            <w:szCs w:val="18"/>
            <w:lang w:val="it-CH"/>
          </w:rPr>
          <w:t>|SUISSE, Monbijoustrasse 20,</w:t>
        </w:r>
        <w:r>
          <w:rPr>
            <w:rFonts w:ascii="Calibri" w:hAnsi="Calibri" w:cs="Arial"/>
            <w:sz w:val="18"/>
            <w:szCs w:val="18"/>
            <w:lang w:val="it-CH"/>
          </w:rPr>
          <w:t xml:space="preserve"> CP</w:t>
        </w:r>
        <w:r w:rsidRPr="00862390">
          <w:rPr>
            <w:rFonts w:ascii="Calibri" w:hAnsi="Calibri" w:cs="Arial"/>
            <w:sz w:val="18"/>
            <w:szCs w:val="18"/>
            <w:lang w:val="it-CH"/>
          </w:rPr>
          <w:t>, 3001 Bern</w:t>
        </w:r>
        <w:r w:rsidRPr="00862390">
          <w:rPr>
            <w:rFonts w:ascii="Calibri" w:hAnsi="Calibri" w:cs="Arial"/>
            <w:sz w:val="18"/>
            <w:szCs w:val="18"/>
            <w:lang w:val="it-CH"/>
          </w:rPr>
          <w:tab/>
          <w:t xml:space="preserve"> </w:t>
        </w:r>
        <w:r>
          <w:rPr>
            <w:rFonts w:ascii="Calibri" w:hAnsi="Calibri" w:cs="Arial"/>
            <w:sz w:val="18"/>
            <w:szCs w:val="18"/>
            <w:lang w:val="it-CH"/>
          </w:rPr>
          <w:t>Pagina</w:t>
        </w:r>
        <w:r w:rsidRPr="00862390">
          <w:rPr>
            <w:rFonts w:ascii="Calibri" w:hAnsi="Calibri" w:cs="Arial"/>
            <w:sz w:val="18"/>
            <w:szCs w:val="18"/>
            <w:lang w:val="it-CH"/>
          </w:rPr>
          <w:t xml:space="preserve"> </w:t>
        </w:r>
        <w:r w:rsidRPr="008C3769">
          <w:rPr>
            <w:rFonts w:ascii="Calibri" w:hAnsi="Calibri" w:cs="Arial"/>
            <w:bCs/>
            <w:sz w:val="18"/>
            <w:szCs w:val="18"/>
          </w:rPr>
          <w:fldChar w:fldCharType="begin"/>
        </w:r>
        <w:r w:rsidRPr="00862390">
          <w:rPr>
            <w:rFonts w:ascii="Calibri" w:hAnsi="Calibri" w:cs="Arial"/>
            <w:bCs/>
            <w:sz w:val="18"/>
            <w:szCs w:val="18"/>
            <w:lang w:val="it-CH"/>
          </w:rPr>
          <w:instrText>PAGE  \* Arabic  \* MERGEFORMAT</w:instrText>
        </w:r>
        <w:r w:rsidRPr="008C3769">
          <w:rPr>
            <w:rFonts w:ascii="Calibri" w:hAnsi="Calibri" w:cs="Arial"/>
            <w:bCs/>
            <w:sz w:val="18"/>
            <w:szCs w:val="18"/>
          </w:rPr>
          <w:fldChar w:fldCharType="separate"/>
        </w:r>
        <w:r w:rsidR="002A08AA">
          <w:rPr>
            <w:rFonts w:ascii="Calibri" w:hAnsi="Calibri" w:cs="Arial"/>
            <w:bCs/>
            <w:noProof/>
            <w:sz w:val="18"/>
            <w:szCs w:val="18"/>
            <w:lang w:val="it-CH"/>
          </w:rPr>
          <w:t>2</w:t>
        </w:r>
        <w:r w:rsidRPr="008C3769">
          <w:rPr>
            <w:rFonts w:ascii="Calibri" w:hAnsi="Calibri" w:cs="Arial"/>
            <w:bCs/>
            <w:sz w:val="18"/>
            <w:szCs w:val="18"/>
          </w:rPr>
          <w:fldChar w:fldCharType="end"/>
        </w:r>
        <w:r w:rsidRPr="00862390">
          <w:rPr>
            <w:rFonts w:ascii="Calibri" w:hAnsi="Calibri" w:cs="Arial"/>
            <w:sz w:val="18"/>
            <w:szCs w:val="18"/>
            <w:lang w:val="it-CH"/>
          </w:rPr>
          <w:t xml:space="preserve"> </w:t>
        </w:r>
        <w:r>
          <w:rPr>
            <w:rFonts w:ascii="Calibri" w:hAnsi="Calibri" w:cs="Arial"/>
            <w:sz w:val="18"/>
            <w:szCs w:val="18"/>
            <w:lang w:val="it-CH"/>
          </w:rPr>
          <w:t xml:space="preserve">di </w:t>
        </w:r>
        <w:r w:rsidRPr="008C3769">
          <w:rPr>
            <w:rFonts w:ascii="Calibri" w:hAnsi="Calibri" w:cs="Arial"/>
            <w:bCs/>
            <w:sz w:val="18"/>
            <w:szCs w:val="18"/>
          </w:rPr>
          <w:fldChar w:fldCharType="begin"/>
        </w:r>
        <w:r w:rsidRPr="00862390">
          <w:rPr>
            <w:rFonts w:ascii="Calibri" w:hAnsi="Calibri" w:cs="Arial"/>
            <w:bCs/>
            <w:sz w:val="18"/>
            <w:szCs w:val="18"/>
            <w:lang w:val="it-CH"/>
          </w:rPr>
          <w:instrText>NUMPAGES  \* Arabic  \* MERGEFORMAT</w:instrText>
        </w:r>
        <w:r w:rsidRPr="008C3769">
          <w:rPr>
            <w:rFonts w:ascii="Calibri" w:hAnsi="Calibri" w:cs="Arial"/>
            <w:bCs/>
            <w:sz w:val="18"/>
            <w:szCs w:val="18"/>
          </w:rPr>
          <w:fldChar w:fldCharType="separate"/>
        </w:r>
        <w:r w:rsidR="002A08AA">
          <w:rPr>
            <w:rFonts w:ascii="Calibri" w:hAnsi="Calibri" w:cs="Arial"/>
            <w:bCs/>
            <w:noProof/>
            <w:sz w:val="18"/>
            <w:szCs w:val="18"/>
            <w:lang w:val="it-CH"/>
          </w:rPr>
          <w:t>2</w:t>
        </w:r>
        <w:r w:rsidRPr="008C3769">
          <w:rPr>
            <w:rFonts w:ascii="Calibri" w:hAnsi="Calibri" w:cs="Arial"/>
            <w:bCs/>
            <w:sz w:val="18"/>
            <w:szCs w:val="18"/>
          </w:rPr>
          <w:fldChar w:fldCharType="end"/>
        </w:r>
      </w:p>
      <w:p w14:paraId="34917339" w14:textId="77777777" w:rsidR="00234D3F" w:rsidRPr="00862390" w:rsidRDefault="00234D3F" w:rsidP="00234D3F">
        <w:pPr>
          <w:pStyle w:val="Fuzeile"/>
          <w:jc w:val="center"/>
          <w:rPr>
            <w:rFonts w:ascii="Calibri" w:hAnsi="Calibri" w:cs="Arial"/>
            <w:sz w:val="18"/>
            <w:szCs w:val="18"/>
            <w:lang w:val="fr-CH"/>
          </w:rPr>
        </w:pPr>
        <w:r w:rsidRPr="008C3769">
          <w:rPr>
            <w:rFonts w:ascii="Calibri" w:hAnsi="Calibri" w:cs="Arial"/>
            <w:sz w:val="18"/>
            <w:szCs w:val="18"/>
          </w:rPr>
          <w:t>Tel.</w:t>
        </w:r>
        <w:r w:rsidRPr="00862390">
          <w:rPr>
            <w:rFonts w:ascii="Calibri" w:hAnsi="Calibri" w:cs="Arial"/>
            <w:sz w:val="18"/>
            <w:szCs w:val="18"/>
            <w:lang w:val="fr-CH"/>
          </w:rPr>
          <w:t>: 380 64 80 Fax: 031 380 64 31</w:t>
        </w:r>
      </w:p>
      <w:p w14:paraId="4AFE251A" w14:textId="77777777" w:rsidR="00234D3F" w:rsidRPr="004664FC" w:rsidRDefault="00234D3F" w:rsidP="00234D3F">
        <w:pPr>
          <w:pStyle w:val="Fuzeile"/>
          <w:tabs>
            <w:tab w:val="left" w:pos="4005"/>
          </w:tabs>
          <w:jc w:val="center"/>
          <w:rPr>
            <w:sz w:val="18"/>
            <w:szCs w:val="18"/>
            <w:lang w:val="fr-CH"/>
          </w:rPr>
        </w:pPr>
        <w:hyperlink r:id="rId1" w:history="1">
          <w:r w:rsidRPr="00E8653D">
            <w:rPr>
              <w:rStyle w:val="Hyperlink"/>
              <w:rFonts w:ascii="Calibri" w:hAnsi="Calibri" w:cs="Arial"/>
              <w:sz w:val="18"/>
              <w:szCs w:val="18"/>
              <w:lang w:val="fr-CH"/>
            </w:rPr>
            <w:t>www.oad-fiduciarisuisse.ch</w:t>
          </w:r>
        </w:hyperlink>
        <w:r w:rsidRPr="00862390">
          <w:rPr>
            <w:rFonts w:ascii="Calibri" w:hAnsi="Calibri" w:cs="Arial"/>
            <w:sz w:val="18"/>
            <w:szCs w:val="18"/>
            <w:lang w:val="fr-CH"/>
          </w:rPr>
          <w:t xml:space="preserve"> / </w:t>
        </w:r>
        <w:hyperlink r:id="rId2" w:history="1">
          <w:r w:rsidRPr="00E8653D">
            <w:rPr>
              <w:rStyle w:val="Hyperlink"/>
              <w:rFonts w:ascii="Calibri" w:hAnsi="Calibri" w:cs="Arial"/>
              <w:sz w:val="18"/>
              <w:szCs w:val="18"/>
              <w:lang w:val="fr-CH"/>
            </w:rPr>
            <w:t>oad@fiduciarisuisse.ch</w:t>
          </w:r>
        </w:hyperlink>
      </w:p>
      <w:p w14:paraId="12E236A8" w14:textId="77777777" w:rsidR="00234D3F" w:rsidRPr="00862390" w:rsidRDefault="00234D3F" w:rsidP="00234D3F">
        <w:pPr>
          <w:spacing w:after="0" w:line="240" w:lineRule="auto"/>
          <w:rPr>
            <w:sz w:val="18"/>
            <w:szCs w:val="18"/>
            <w:lang w:val="de-CH" w:eastAsia="en-US" w:bidi="ar-SA"/>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B28C" w14:textId="6EEF9082" w:rsidR="00234D3F" w:rsidRPr="0017565C" w:rsidRDefault="00234D3F" w:rsidP="00234D3F">
    <w:pPr>
      <w:pStyle w:val="Fuzeile"/>
      <w:rPr>
        <w:sz w:val="18"/>
        <w:szCs w:val="18"/>
        <w:lang w:val="it-CH" w:eastAsia="en-US" w:bidi="ar-SA"/>
      </w:rPr>
    </w:pPr>
    <w:r>
      <w:rPr>
        <w:sz w:val="18"/>
        <w:szCs w:val="18"/>
        <w:lang w:val="it-CH" w:eastAsia="en-US" w:bidi="ar-SA"/>
      </w:rPr>
      <w:t>Incarto LRD</w:t>
    </w:r>
    <w:r w:rsidRPr="005D0775">
      <w:rPr>
        <w:sz w:val="18"/>
        <w:szCs w:val="18"/>
        <w:lang w:val="it-CH" w:eastAsia="en-US" w:bidi="ar-SA"/>
      </w:rPr>
      <w:t xml:space="preserve"> </w:t>
    </w:r>
    <w:r w:rsidRPr="005D0775">
      <w:rPr>
        <w:sz w:val="18"/>
        <w:szCs w:val="18"/>
        <w:lang w:val="it-CH" w:eastAsia="en-US" w:bidi="ar-SA"/>
      </w:rPr>
      <w:tab/>
    </w:r>
    <w:r w:rsidRPr="005D0775">
      <w:rPr>
        <w:sz w:val="18"/>
        <w:szCs w:val="18"/>
        <w:lang w:val="it-CH" w:eastAsia="en-US" w:bidi="ar-SA"/>
      </w:rPr>
      <w:tab/>
    </w:r>
    <w:r>
      <w:rPr>
        <w:sz w:val="18"/>
        <w:szCs w:val="18"/>
        <w:lang w:val="it-CH" w:eastAsia="en-US" w:bidi="ar-SA"/>
      </w:rPr>
      <w:t>Pagina</w:t>
    </w:r>
    <w:r w:rsidRPr="005D0775">
      <w:rPr>
        <w:sz w:val="18"/>
        <w:szCs w:val="18"/>
        <w:lang w:val="it-CH" w:eastAsia="en-US" w:bidi="ar-SA"/>
      </w:rPr>
      <w:t xml:space="preserve"> </w:t>
    </w:r>
    <w:r w:rsidRPr="005D0775">
      <w:rPr>
        <w:sz w:val="18"/>
        <w:szCs w:val="18"/>
        <w:lang w:val="de-CH" w:eastAsia="en-US" w:bidi="ar-SA"/>
      </w:rPr>
      <w:fldChar w:fldCharType="begin"/>
    </w:r>
    <w:r w:rsidRPr="005D0775">
      <w:rPr>
        <w:sz w:val="18"/>
        <w:szCs w:val="18"/>
        <w:lang w:val="it-CH" w:eastAsia="en-US" w:bidi="ar-SA"/>
      </w:rPr>
      <w:instrText>PAGE  \* Arabic  \* MERGEFORMAT</w:instrText>
    </w:r>
    <w:r w:rsidRPr="005D0775">
      <w:rPr>
        <w:sz w:val="18"/>
        <w:szCs w:val="18"/>
        <w:lang w:val="de-CH" w:eastAsia="en-US" w:bidi="ar-SA"/>
      </w:rPr>
      <w:fldChar w:fldCharType="separate"/>
    </w:r>
    <w:r w:rsidR="002A08AA">
      <w:rPr>
        <w:noProof/>
        <w:sz w:val="18"/>
        <w:szCs w:val="18"/>
        <w:lang w:val="it-CH" w:eastAsia="en-US" w:bidi="ar-SA"/>
      </w:rPr>
      <w:t>1</w:t>
    </w:r>
    <w:r w:rsidRPr="005D0775">
      <w:rPr>
        <w:sz w:val="18"/>
        <w:szCs w:val="18"/>
        <w:lang w:val="de-CH" w:eastAsia="en-US" w:bidi="ar-SA"/>
      </w:rPr>
      <w:fldChar w:fldCharType="end"/>
    </w:r>
    <w:r w:rsidRPr="005D0775">
      <w:rPr>
        <w:sz w:val="18"/>
        <w:szCs w:val="18"/>
        <w:lang w:val="it-CH" w:eastAsia="en-US" w:bidi="ar-SA"/>
      </w:rPr>
      <w:t xml:space="preserve"> </w:t>
    </w:r>
    <w:r>
      <w:rPr>
        <w:sz w:val="18"/>
        <w:szCs w:val="18"/>
        <w:lang w:val="it-CH" w:eastAsia="en-US" w:bidi="ar-SA"/>
      </w:rPr>
      <w:t>di</w:t>
    </w:r>
    <w:r w:rsidRPr="005D0775">
      <w:rPr>
        <w:sz w:val="18"/>
        <w:szCs w:val="18"/>
        <w:lang w:val="it-CH" w:eastAsia="en-US" w:bidi="ar-SA"/>
      </w:rPr>
      <w:t xml:space="preserve"> </w:t>
    </w:r>
    <w:r w:rsidRPr="005D0775">
      <w:rPr>
        <w:sz w:val="18"/>
        <w:szCs w:val="18"/>
        <w:lang w:val="de-CH" w:eastAsia="en-US" w:bidi="ar-SA"/>
      </w:rPr>
      <w:fldChar w:fldCharType="begin"/>
    </w:r>
    <w:r w:rsidRPr="005D0775">
      <w:rPr>
        <w:sz w:val="18"/>
        <w:szCs w:val="18"/>
        <w:lang w:val="it-CH" w:eastAsia="en-US" w:bidi="ar-SA"/>
      </w:rPr>
      <w:instrText>NUMPAGES  \* Arabic  \* MERGEFORMAT</w:instrText>
    </w:r>
    <w:r w:rsidRPr="005D0775">
      <w:rPr>
        <w:sz w:val="18"/>
        <w:szCs w:val="18"/>
        <w:lang w:val="de-CH" w:eastAsia="en-US" w:bidi="ar-SA"/>
      </w:rPr>
      <w:fldChar w:fldCharType="separate"/>
    </w:r>
    <w:r w:rsidR="002A08AA">
      <w:rPr>
        <w:noProof/>
        <w:sz w:val="18"/>
        <w:szCs w:val="18"/>
        <w:lang w:val="it-CH" w:eastAsia="en-US" w:bidi="ar-SA"/>
      </w:rPr>
      <w:t>2</w:t>
    </w:r>
    <w:r w:rsidRPr="005D0775">
      <w:rPr>
        <w:sz w:val="18"/>
        <w:szCs w:val="18"/>
        <w:lang w:val="de-CH" w:eastAsia="en-US" w:bidi="ar-SA"/>
      </w:rPr>
      <w:fldChar w:fldCharType="end"/>
    </w:r>
  </w:p>
  <w:p w14:paraId="1D878CCA" w14:textId="77777777" w:rsidR="00234D3F" w:rsidRPr="0017565C" w:rsidRDefault="00234D3F" w:rsidP="00234D3F">
    <w:pPr>
      <w:pStyle w:val="Fuzeile"/>
      <w:rPr>
        <w:sz w:val="18"/>
        <w:szCs w:val="18"/>
        <w:lang w:val="it-CH" w:eastAsia="en-US" w:bidi="ar-SA"/>
      </w:rPr>
    </w:pPr>
  </w:p>
  <w:p w14:paraId="7430D275" w14:textId="77777777" w:rsidR="00234D3F" w:rsidRPr="0017565C" w:rsidRDefault="00234D3F" w:rsidP="00234D3F">
    <w:pPr>
      <w:pStyle w:val="Fuzeile"/>
      <w:rPr>
        <w:sz w:val="18"/>
        <w:szCs w:val="18"/>
        <w:lang w:val="it-CH" w:eastAsia="en-US" w:bidi="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B8F8" w14:textId="77777777" w:rsidR="005D7A4D" w:rsidRDefault="005D7A4D" w:rsidP="00A04616">
      <w:pPr>
        <w:spacing w:after="0" w:line="240" w:lineRule="auto"/>
      </w:pPr>
      <w:r>
        <w:separator/>
      </w:r>
    </w:p>
  </w:footnote>
  <w:footnote w:type="continuationSeparator" w:id="0">
    <w:p w14:paraId="2ACD22E6" w14:textId="77777777" w:rsidR="005D7A4D" w:rsidRDefault="005D7A4D"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BF20" w14:textId="33A1BF32" w:rsidR="00301AE1" w:rsidRDefault="00301AE1">
    <w:pPr>
      <w:pStyle w:val="Kopfzeile"/>
      <w:jc w:val="right"/>
    </w:pPr>
  </w:p>
  <w:p w14:paraId="2D20737E" w14:textId="339D2BC4" w:rsidR="00A04616" w:rsidRPr="00301AE1" w:rsidRDefault="00A04616">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6BD5D7E"/>
    <w:multiLevelType w:val="hybridMultilevel"/>
    <w:tmpl w:val="5AE8F5F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3021D"/>
    <w:rsid w:val="00030D1A"/>
    <w:rsid w:val="00043351"/>
    <w:rsid w:val="00051A71"/>
    <w:rsid w:val="000561E4"/>
    <w:rsid w:val="00084937"/>
    <w:rsid w:val="0010507E"/>
    <w:rsid w:val="0013784D"/>
    <w:rsid w:val="001629F4"/>
    <w:rsid w:val="00164DF3"/>
    <w:rsid w:val="00174373"/>
    <w:rsid w:val="0018182E"/>
    <w:rsid w:val="00184AB8"/>
    <w:rsid w:val="00193F33"/>
    <w:rsid w:val="001B01D1"/>
    <w:rsid w:val="001B5980"/>
    <w:rsid w:val="001D1947"/>
    <w:rsid w:val="001F7225"/>
    <w:rsid w:val="00234D3F"/>
    <w:rsid w:val="002478C9"/>
    <w:rsid w:val="00266B78"/>
    <w:rsid w:val="00281065"/>
    <w:rsid w:val="002860A8"/>
    <w:rsid w:val="002A08AA"/>
    <w:rsid w:val="002B21B2"/>
    <w:rsid w:val="002E32F7"/>
    <w:rsid w:val="00301AE1"/>
    <w:rsid w:val="003045F4"/>
    <w:rsid w:val="00314888"/>
    <w:rsid w:val="003414B8"/>
    <w:rsid w:val="00342615"/>
    <w:rsid w:val="00346F28"/>
    <w:rsid w:val="00364B87"/>
    <w:rsid w:val="00372465"/>
    <w:rsid w:val="0037254C"/>
    <w:rsid w:val="003B3778"/>
    <w:rsid w:val="00461FD3"/>
    <w:rsid w:val="00465C41"/>
    <w:rsid w:val="00473E74"/>
    <w:rsid w:val="00474E36"/>
    <w:rsid w:val="004B7956"/>
    <w:rsid w:val="004E096A"/>
    <w:rsid w:val="004F5AE2"/>
    <w:rsid w:val="00522DFD"/>
    <w:rsid w:val="005261E5"/>
    <w:rsid w:val="00527F27"/>
    <w:rsid w:val="00542956"/>
    <w:rsid w:val="005C05C3"/>
    <w:rsid w:val="005C5115"/>
    <w:rsid w:val="005D0CC8"/>
    <w:rsid w:val="005D7A4D"/>
    <w:rsid w:val="005E53E5"/>
    <w:rsid w:val="005F62E8"/>
    <w:rsid w:val="005F7D05"/>
    <w:rsid w:val="00615021"/>
    <w:rsid w:val="0063291D"/>
    <w:rsid w:val="00644414"/>
    <w:rsid w:val="006521D2"/>
    <w:rsid w:val="00662585"/>
    <w:rsid w:val="006867BA"/>
    <w:rsid w:val="00690088"/>
    <w:rsid w:val="006D422D"/>
    <w:rsid w:val="00707EE5"/>
    <w:rsid w:val="0074758B"/>
    <w:rsid w:val="00790C33"/>
    <w:rsid w:val="00793E5A"/>
    <w:rsid w:val="007A4D13"/>
    <w:rsid w:val="007E1AF0"/>
    <w:rsid w:val="00801701"/>
    <w:rsid w:val="00802F7A"/>
    <w:rsid w:val="00806554"/>
    <w:rsid w:val="00825A82"/>
    <w:rsid w:val="008A19BA"/>
    <w:rsid w:val="008A2B0B"/>
    <w:rsid w:val="008B3CF1"/>
    <w:rsid w:val="008B71C1"/>
    <w:rsid w:val="008C50FD"/>
    <w:rsid w:val="008C664E"/>
    <w:rsid w:val="008F37F7"/>
    <w:rsid w:val="00926A88"/>
    <w:rsid w:val="009273FC"/>
    <w:rsid w:val="00946EAB"/>
    <w:rsid w:val="0095159A"/>
    <w:rsid w:val="00987ADB"/>
    <w:rsid w:val="009C0F34"/>
    <w:rsid w:val="009F388C"/>
    <w:rsid w:val="009F64E3"/>
    <w:rsid w:val="00A04616"/>
    <w:rsid w:val="00A12CDD"/>
    <w:rsid w:val="00A13A5C"/>
    <w:rsid w:val="00A13C79"/>
    <w:rsid w:val="00A41932"/>
    <w:rsid w:val="00A637FA"/>
    <w:rsid w:val="00A74189"/>
    <w:rsid w:val="00AB6E9C"/>
    <w:rsid w:val="00AB7FA3"/>
    <w:rsid w:val="00AF30C1"/>
    <w:rsid w:val="00B4085B"/>
    <w:rsid w:val="00B80A6E"/>
    <w:rsid w:val="00B842B9"/>
    <w:rsid w:val="00B929CA"/>
    <w:rsid w:val="00BA02A7"/>
    <w:rsid w:val="00BE46E5"/>
    <w:rsid w:val="00BF0647"/>
    <w:rsid w:val="00BF108C"/>
    <w:rsid w:val="00BF2F7D"/>
    <w:rsid w:val="00BF36C1"/>
    <w:rsid w:val="00C2023E"/>
    <w:rsid w:val="00C311F2"/>
    <w:rsid w:val="00C46BF1"/>
    <w:rsid w:val="00C51874"/>
    <w:rsid w:val="00C5209E"/>
    <w:rsid w:val="00C542FD"/>
    <w:rsid w:val="00C663C8"/>
    <w:rsid w:val="00C7446E"/>
    <w:rsid w:val="00D1629A"/>
    <w:rsid w:val="00D71DA8"/>
    <w:rsid w:val="00DB6C9B"/>
    <w:rsid w:val="00DD7019"/>
    <w:rsid w:val="00E731E1"/>
    <w:rsid w:val="00EB627A"/>
    <w:rsid w:val="00EC10FC"/>
    <w:rsid w:val="00EC3734"/>
    <w:rsid w:val="00F075A8"/>
    <w:rsid w:val="00F70521"/>
    <w:rsid w:val="00F73D75"/>
    <w:rsid w:val="00F830D5"/>
    <w:rsid w:val="00FA6769"/>
    <w:rsid w:val="00FA791D"/>
    <w:rsid w:val="00FE42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it-IT"/>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56990">
      <w:bodyDiv w:val="1"/>
      <w:marLeft w:val="0"/>
      <w:marRight w:val="0"/>
      <w:marTop w:val="0"/>
      <w:marBottom w:val="0"/>
      <w:divBdr>
        <w:top w:val="none" w:sz="0" w:space="0" w:color="auto"/>
        <w:left w:val="none" w:sz="0" w:space="0" w:color="auto"/>
        <w:bottom w:val="none" w:sz="0" w:space="0" w:color="auto"/>
        <w:right w:val="none" w:sz="0" w:space="0" w:color="auto"/>
      </w:divBdr>
      <w:divsChild>
        <w:div w:id="346559841">
          <w:marLeft w:val="0"/>
          <w:marRight w:val="0"/>
          <w:marTop w:val="0"/>
          <w:marBottom w:val="0"/>
          <w:divBdr>
            <w:top w:val="none" w:sz="0" w:space="0" w:color="auto"/>
            <w:left w:val="none" w:sz="0" w:space="0" w:color="auto"/>
            <w:bottom w:val="none" w:sz="0" w:space="0" w:color="auto"/>
            <w:right w:val="none" w:sz="0" w:space="0" w:color="auto"/>
          </w:divBdr>
          <w:divsChild>
            <w:div w:id="1615209823">
              <w:marLeft w:val="0"/>
              <w:marRight w:val="0"/>
              <w:marTop w:val="0"/>
              <w:marBottom w:val="0"/>
              <w:divBdr>
                <w:top w:val="none" w:sz="0" w:space="0" w:color="auto"/>
                <w:left w:val="none" w:sz="0" w:space="0" w:color="auto"/>
                <w:bottom w:val="none" w:sz="0" w:space="0" w:color="auto"/>
                <w:right w:val="none" w:sz="0" w:space="0" w:color="auto"/>
              </w:divBdr>
            </w:div>
            <w:div w:id="1215385116">
              <w:marLeft w:val="0"/>
              <w:marRight w:val="0"/>
              <w:marTop w:val="0"/>
              <w:marBottom w:val="0"/>
              <w:divBdr>
                <w:top w:val="none" w:sz="0" w:space="0" w:color="auto"/>
                <w:left w:val="none" w:sz="0" w:space="0" w:color="auto"/>
                <w:bottom w:val="none" w:sz="0" w:space="0" w:color="auto"/>
                <w:right w:val="none" w:sz="0" w:space="0" w:color="auto"/>
              </w:divBdr>
            </w:div>
            <w:div w:id="419524796">
              <w:marLeft w:val="0"/>
              <w:marRight w:val="0"/>
              <w:marTop w:val="0"/>
              <w:marBottom w:val="0"/>
              <w:divBdr>
                <w:top w:val="none" w:sz="0" w:space="0" w:color="auto"/>
                <w:left w:val="none" w:sz="0" w:space="0" w:color="auto"/>
                <w:bottom w:val="none" w:sz="0" w:space="0" w:color="auto"/>
                <w:right w:val="none" w:sz="0" w:space="0" w:color="auto"/>
              </w:divBdr>
            </w:div>
            <w:div w:id="20515067">
              <w:marLeft w:val="0"/>
              <w:marRight w:val="0"/>
              <w:marTop w:val="0"/>
              <w:marBottom w:val="0"/>
              <w:divBdr>
                <w:top w:val="none" w:sz="0" w:space="0" w:color="auto"/>
                <w:left w:val="none" w:sz="0" w:space="0" w:color="auto"/>
                <w:bottom w:val="none" w:sz="0" w:space="0" w:color="auto"/>
                <w:right w:val="none" w:sz="0" w:space="0" w:color="auto"/>
              </w:divBdr>
            </w:div>
            <w:div w:id="149371387">
              <w:marLeft w:val="0"/>
              <w:marRight w:val="0"/>
              <w:marTop w:val="0"/>
              <w:marBottom w:val="0"/>
              <w:divBdr>
                <w:top w:val="none" w:sz="0" w:space="0" w:color="auto"/>
                <w:left w:val="none" w:sz="0" w:space="0" w:color="auto"/>
                <w:bottom w:val="none" w:sz="0" w:space="0" w:color="auto"/>
                <w:right w:val="none" w:sz="0" w:space="0" w:color="auto"/>
              </w:divBdr>
            </w:div>
            <w:div w:id="1850293806">
              <w:marLeft w:val="0"/>
              <w:marRight w:val="0"/>
              <w:marTop w:val="0"/>
              <w:marBottom w:val="0"/>
              <w:divBdr>
                <w:top w:val="none" w:sz="0" w:space="0" w:color="auto"/>
                <w:left w:val="none" w:sz="0" w:space="0" w:color="auto"/>
                <w:bottom w:val="none" w:sz="0" w:space="0" w:color="auto"/>
                <w:right w:val="none" w:sz="0" w:space="0" w:color="auto"/>
              </w:divBdr>
            </w:div>
            <w:div w:id="1942060618">
              <w:marLeft w:val="0"/>
              <w:marRight w:val="0"/>
              <w:marTop w:val="0"/>
              <w:marBottom w:val="0"/>
              <w:divBdr>
                <w:top w:val="none" w:sz="0" w:space="0" w:color="auto"/>
                <w:left w:val="none" w:sz="0" w:space="0" w:color="auto"/>
                <w:bottom w:val="none" w:sz="0" w:space="0" w:color="auto"/>
                <w:right w:val="none" w:sz="0" w:space="0" w:color="auto"/>
              </w:divBdr>
            </w:div>
            <w:div w:id="370502049">
              <w:marLeft w:val="0"/>
              <w:marRight w:val="0"/>
              <w:marTop w:val="0"/>
              <w:marBottom w:val="0"/>
              <w:divBdr>
                <w:top w:val="none" w:sz="0" w:space="0" w:color="auto"/>
                <w:left w:val="none" w:sz="0" w:space="0" w:color="auto"/>
                <w:bottom w:val="none" w:sz="0" w:space="0" w:color="auto"/>
                <w:right w:val="none" w:sz="0" w:space="0" w:color="auto"/>
              </w:divBdr>
            </w:div>
            <w:div w:id="1908564388">
              <w:marLeft w:val="0"/>
              <w:marRight w:val="0"/>
              <w:marTop w:val="0"/>
              <w:marBottom w:val="0"/>
              <w:divBdr>
                <w:top w:val="none" w:sz="0" w:space="0" w:color="auto"/>
                <w:left w:val="none" w:sz="0" w:space="0" w:color="auto"/>
                <w:bottom w:val="none" w:sz="0" w:space="0" w:color="auto"/>
                <w:right w:val="none" w:sz="0" w:space="0" w:color="auto"/>
              </w:divBdr>
            </w:div>
            <w:div w:id="1671054837">
              <w:marLeft w:val="0"/>
              <w:marRight w:val="0"/>
              <w:marTop w:val="0"/>
              <w:marBottom w:val="0"/>
              <w:divBdr>
                <w:top w:val="none" w:sz="0" w:space="0" w:color="auto"/>
                <w:left w:val="none" w:sz="0" w:space="0" w:color="auto"/>
                <w:bottom w:val="none" w:sz="0" w:space="0" w:color="auto"/>
                <w:right w:val="none" w:sz="0" w:space="0" w:color="auto"/>
              </w:divBdr>
            </w:div>
            <w:div w:id="1562251135">
              <w:marLeft w:val="0"/>
              <w:marRight w:val="0"/>
              <w:marTop w:val="0"/>
              <w:marBottom w:val="0"/>
              <w:divBdr>
                <w:top w:val="none" w:sz="0" w:space="0" w:color="auto"/>
                <w:left w:val="none" w:sz="0" w:space="0" w:color="auto"/>
                <w:bottom w:val="none" w:sz="0" w:space="0" w:color="auto"/>
                <w:right w:val="none" w:sz="0" w:space="0" w:color="auto"/>
              </w:divBdr>
            </w:div>
            <w:div w:id="128741867">
              <w:marLeft w:val="0"/>
              <w:marRight w:val="0"/>
              <w:marTop w:val="0"/>
              <w:marBottom w:val="0"/>
              <w:divBdr>
                <w:top w:val="none" w:sz="0" w:space="0" w:color="auto"/>
                <w:left w:val="none" w:sz="0" w:space="0" w:color="auto"/>
                <w:bottom w:val="none" w:sz="0" w:space="0" w:color="auto"/>
                <w:right w:val="none" w:sz="0" w:space="0" w:color="auto"/>
              </w:divBdr>
            </w:div>
            <w:div w:id="18706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ad@fiduciarisuisse.ch" TargetMode="External"/><Relationship Id="rId1" Type="http://schemas.openxmlformats.org/officeDocument/2006/relationships/hyperlink" Target="http://www.oad-fiduciarisuiss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5276-1620-4409-A7E6-8E140B0F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Jacqueline Rosales</cp:lastModifiedBy>
  <cp:revision>26</cp:revision>
  <cp:lastPrinted>2017-06-20T09:38:00Z</cp:lastPrinted>
  <dcterms:created xsi:type="dcterms:W3CDTF">2017-04-18T08:45:00Z</dcterms:created>
  <dcterms:modified xsi:type="dcterms:W3CDTF">2017-06-20T09:38:00Z</dcterms:modified>
</cp:coreProperties>
</file>