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5088" w14:textId="0B14CC42" w:rsidR="00C2023E" w:rsidRPr="004B0C83" w:rsidRDefault="00B07E6F" w:rsidP="00C6668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296EB188" wp14:editId="7F404300">
            <wp:simplePos x="0" y="0"/>
            <wp:positionH relativeFrom="column">
              <wp:posOffset>4483557</wp:posOffset>
            </wp:positionH>
            <wp:positionV relativeFrom="paragraph">
              <wp:posOffset>-563931</wp:posOffset>
            </wp:positionV>
            <wp:extent cx="1844370" cy="719990"/>
            <wp:effectExtent l="0" t="0" r="3810" b="444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16" cy="7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aps/>
          <w:color w:val="007BBF"/>
          <w:sz w:val="24"/>
        </w:rPr>
        <w:t>analisi del rischio</w:t>
      </w:r>
      <w:r>
        <w:rPr>
          <w:rFonts w:ascii="Arial" w:hAnsi="Arial"/>
          <w:noProof/>
        </w:rPr>
        <w:t xml:space="preserve"> </w:t>
      </w:r>
    </w:p>
    <w:p w14:paraId="37ECBB8C" w14:textId="77777777" w:rsidR="00573ACA" w:rsidRPr="004B0C83" w:rsidRDefault="00573ACA" w:rsidP="00C66682">
      <w:pPr>
        <w:rPr>
          <w:rStyle w:val="st"/>
          <w:rFonts w:ascii="Arial" w:hAnsi="Arial" w:cs="Arial"/>
          <w:noProof/>
        </w:rPr>
      </w:pPr>
    </w:p>
    <w:p w14:paraId="5C3CE797" w14:textId="50A3B1CA" w:rsidR="00827079" w:rsidRPr="004B0C83" w:rsidRDefault="001921CB" w:rsidP="007E3BA1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Style w:val="st"/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1.1</w:t>
      </w:r>
      <w:r>
        <w:tab/>
      </w:r>
      <w:r>
        <w:rPr>
          <w:rFonts w:ascii="Arial" w:hAnsi="Arial"/>
          <w:b/>
          <w:sz w:val="20"/>
        </w:rPr>
        <w:t>Valutazione del rischio intrinseco</w:t>
      </w:r>
    </w:p>
    <w:p w14:paraId="6CB99243" w14:textId="3BE29DAA" w:rsidR="00723650" w:rsidRPr="004B0C83" w:rsidRDefault="000F78FC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I criteri per determinare il rischio intrinseco tengono conto delle disposizioni vigenti in materia di riciclaggio di denaro, a prescindere dai meccanismi di controllo interni. La configurazione dell’attività e la struttura della clientela dell’intermediario finanziario sottoposto a controllo sono determinanti per la determinazione del grado di rischio. (rischio normale = 1 punto, rischio elevato = 2 punti)</w:t>
      </w:r>
    </w:p>
    <w:p w14:paraId="7FC74C2F" w14:textId="77777777" w:rsidR="00C0600E" w:rsidRPr="004B0C83" w:rsidRDefault="00C0600E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5"/>
        <w:gridCol w:w="942"/>
        <w:gridCol w:w="943"/>
        <w:gridCol w:w="943"/>
        <w:gridCol w:w="263"/>
        <w:gridCol w:w="10"/>
        <w:gridCol w:w="1706"/>
        <w:gridCol w:w="888"/>
      </w:tblGrid>
      <w:tr w:rsidR="00D03907" w:rsidRPr="00D03907" w14:paraId="6768886A" w14:textId="77777777" w:rsidTr="00D03907">
        <w:trPr>
          <w:trHeight w:val="300"/>
        </w:trPr>
        <w:tc>
          <w:tcPr>
            <w:tcW w:w="3380" w:type="dxa"/>
            <w:tcBorders>
              <w:right w:val="nil"/>
            </w:tcBorders>
            <w:noWrap/>
            <w:hideMark/>
          </w:tcPr>
          <w:p w14:paraId="57B9F503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Criterio</w:t>
            </w:r>
          </w:p>
        </w:tc>
        <w:tc>
          <w:tcPr>
            <w:tcW w:w="94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3F946AA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D18A1AD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4FF535A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222D4D95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noWrap/>
            <w:hideMark/>
          </w:tcPr>
          <w:p w14:paraId="3F061536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Valutazione del rischio</w:t>
            </w:r>
          </w:p>
        </w:tc>
      </w:tr>
      <w:tr w:rsidR="00D03907" w:rsidRPr="00D03907" w14:paraId="076E4F1A" w14:textId="77777777" w:rsidTr="00D03907">
        <w:trPr>
          <w:trHeight w:val="315"/>
        </w:trPr>
        <w:tc>
          <w:tcPr>
            <w:tcW w:w="3380" w:type="dxa"/>
            <w:tcBorders>
              <w:right w:val="nil"/>
            </w:tcBorders>
            <w:noWrap/>
            <w:hideMark/>
          </w:tcPr>
          <w:p w14:paraId="30463582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07F7E64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62084B8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89037C6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3FB871DC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noWrap/>
            <w:hideMark/>
          </w:tcPr>
          <w:p w14:paraId="21F4D0FA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Normale</w:t>
            </w:r>
          </w:p>
        </w:tc>
        <w:tc>
          <w:tcPr>
            <w:tcW w:w="891" w:type="dxa"/>
            <w:noWrap/>
            <w:hideMark/>
          </w:tcPr>
          <w:p w14:paraId="4801C84F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Elevato</w:t>
            </w:r>
          </w:p>
        </w:tc>
      </w:tr>
      <w:tr w:rsidR="00D03907" w:rsidRPr="00D03907" w14:paraId="73D6C531" w14:textId="77777777" w:rsidTr="00D03907">
        <w:trPr>
          <w:trHeight w:val="300"/>
        </w:trPr>
        <w:tc>
          <w:tcPr>
            <w:tcW w:w="3380" w:type="dxa"/>
            <w:tcBorders>
              <w:right w:val="nil"/>
            </w:tcBorders>
            <w:noWrap/>
            <w:hideMark/>
          </w:tcPr>
          <w:p w14:paraId="2DDD481A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Tipo di servizi offerti dall'intermediario finanziario</w:t>
            </w:r>
          </w:p>
        </w:tc>
        <w:tc>
          <w:tcPr>
            <w:tcW w:w="946" w:type="dxa"/>
            <w:tcBorders>
              <w:left w:val="nil"/>
              <w:right w:val="nil"/>
            </w:tcBorders>
            <w:noWrap/>
            <w:hideMark/>
          </w:tcPr>
          <w:p w14:paraId="1D23D501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  <w:noWrap/>
            <w:hideMark/>
          </w:tcPr>
          <w:p w14:paraId="02AF4CC0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  <w:noWrap/>
            <w:hideMark/>
          </w:tcPr>
          <w:p w14:paraId="1A201CDF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5D00568D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89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3" w:type="dxa"/>
                <w:noWrap/>
                <w:hideMark/>
              </w:tcPr>
              <w:p w14:paraId="71055143" w14:textId="06FCBD9E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07871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noWrap/>
                <w:hideMark/>
              </w:tcPr>
              <w:p w14:paraId="740B62B6" w14:textId="254D6593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5B14646F" w14:textId="77777777" w:rsidTr="00D03907">
        <w:trPr>
          <w:trHeight w:val="300"/>
        </w:trPr>
        <w:tc>
          <w:tcPr>
            <w:tcW w:w="6220" w:type="dxa"/>
            <w:gridSpan w:val="4"/>
            <w:tcBorders>
              <w:right w:val="nil"/>
            </w:tcBorders>
            <w:noWrap/>
            <w:hideMark/>
          </w:tcPr>
          <w:p w14:paraId="1157EA5B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Struttura della clientela (persone fisiche o giuridiche)</w:t>
            </w:r>
          </w:p>
        </w:tc>
        <w:tc>
          <w:tcPr>
            <w:tcW w:w="236" w:type="dxa"/>
            <w:gridSpan w:val="2"/>
            <w:tcBorders>
              <w:left w:val="nil"/>
            </w:tcBorders>
            <w:noWrap/>
            <w:hideMark/>
          </w:tcPr>
          <w:p w14:paraId="74C65AC7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64597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3" w:type="dxa"/>
                <w:noWrap/>
                <w:hideMark/>
              </w:tcPr>
              <w:p w14:paraId="78958D8F" w14:textId="26EB6101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4598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noWrap/>
                <w:hideMark/>
              </w:tcPr>
              <w:p w14:paraId="1C649E2A" w14:textId="2A88D9F6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2B7ED2B6" w14:textId="77777777" w:rsidTr="00D03907">
        <w:trPr>
          <w:trHeight w:val="300"/>
        </w:trPr>
        <w:tc>
          <w:tcPr>
            <w:tcW w:w="6448" w:type="dxa"/>
            <w:gridSpan w:val="5"/>
            <w:noWrap/>
            <w:hideMark/>
          </w:tcPr>
          <w:p w14:paraId="385DD27D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Fluttuazione dei clienti e relazioni d’affari rilevanti per la LRD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0959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1" w:type="dxa"/>
                <w:gridSpan w:val="2"/>
                <w:tcBorders>
                  <w:bottom w:val="single" w:sz="4" w:space="0" w:color="auto"/>
                </w:tcBorders>
                <w:noWrap/>
                <w:hideMark/>
              </w:tcPr>
              <w:p w14:paraId="0260C8ED" w14:textId="6D369572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30827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tcBorders>
                  <w:bottom w:val="single" w:sz="4" w:space="0" w:color="auto"/>
                </w:tcBorders>
                <w:noWrap/>
                <w:hideMark/>
              </w:tcPr>
              <w:p w14:paraId="5608D276" w14:textId="24C61056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474955B7" w14:textId="77777777" w:rsidTr="00D03907">
        <w:trPr>
          <w:trHeight w:val="300"/>
        </w:trPr>
        <w:tc>
          <w:tcPr>
            <w:tcW w:w="6448" w:type="dxa"/>
            <w:gridSpan w:val="5"/>
            <w:hideMark/>
          </w:tcPr>
          <w:p w14:paraId="3B66526E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Clienti all'interno di UE/CH/FL con società di sede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94022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1" w:type="dxa"/>
                <w:gridSpan w:val="2"/>
                <w:tcBorders>
                  <w:bottom w:val="single" w:sz="12" w:space="0" w:color="auto"/>
                </w:tcBorders>
                <w:noWrap/>
                <w:hideMark/>
              </w:tcPr>
              <w:p w14:paraId="5F751648" w14:textId="17C4CAB7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0390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35337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tcBorders>
                  <w:bottom w:val="single" w:sz="12" w:space="0" w:color="auto"/>
                </w:tcBorders>
                <w:noWrap/>
                <w:hideMark/>
              </w:tcPr>
              <w:p w14:paraId="29E4BD92" w14:textId="1A35EC08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7A4F5FB9" w14:textId="77777777" w:rsidTr="00D03907">
        <w:trPr>
          <w:trHeight w:val="300"/>
        </w:trPr>
        <w:tc>
          <w:tcPr>
            <w:tcW w:w="6448" w:type="dxa"/>
            <w:gridSpan w:val="5"/>
            <w:hideMark/>
          </w:tcPr>
          <w:p w14:paraId="636A38DA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Clienti al di fuori di UE/CH/FL con società di sede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27895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1" w:type="dxa"/>
                <w:gridSpan w:val="2"/>
                <w:tcBorders>
                  <w:top w:val="single" w:sz="12" w:space="0" w:color="auto"/>
                  <w:bottom w:val="single" w:sz="4" w:space="0" w:color="auto"/>
                </w:tcBorders>
                <w:noWrap/>
                <w:hideMark/>
              </w:tcPr>
              <w:p w14:paraId="7D13E832" w14:textId="3C2B1540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11975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tcBorders>
                  <w:top w:val="single" w:sz="12" w:space="0" w:color="auto"/>
                  <w:bottom w:val="single" w:sz="4" w:space="0" w:color="auto"/>
                </w:tcBorders>
                <w:noWrap/>
                <w:hideMark/>
              </w:tcPr>
              <w:p w14:paraId="7FBFC0AB" w14:textId="2ECBDD56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0390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234F569B" w14:textId="77777777" w:rsidTr="00D03907">
        <w:trPr>
          <w:trHeight w:val="915"/>
        </w:trPr>
        <w:tc>
          <w:tcPr>
            <w:tcW w:w="6448" w:type="dxa"/>
            <w:gridSpan w:val="5"/>
            <w:hideMark/>
          </w:tcPr>
          <w:p w14:paraId="521822EF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Conoscenze dell’intermediario finanziario in merito ai suoi clienti (ad es. livello di approfondimento dei profili cliente, frequenza dei contatti, attività dei clienti)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209697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1" w:type="dxa"/>
                <w:gridSpan w:val="2"/>
                <w:tcBorders>
                  <w:bottom w:val="single" w:sz="12" w:space="0" w:color="auto"/>
                </w:tcBorders>
                <w:noWrap/>
                <w:hideMark/>
              </w:tcPr>
              <w:p w14:paraId="030105DE" w14:textId="513A783B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64249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tcBorders>
                  <w:bottom w:val="single" w:sz="12" w:space="0" w:color="auto"/>
                </w:tcBorders>
                <w:noWrap/>
                <w:hideMark/>
              </w:tcPr>
              <w:p w14:paraId="594ABD5C" w14:textId="4BD3BEAD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1C531A68" w14:textId="77777777" w:rsidTr="00D03907">
        <w:trPr>
          <w:trHeight w:val="300"/>
        </w:trPr>
        <w:tc>
          <w:tcPr>
            <w:tcW w:w="6220" w:type="dxa"/>
            <w:gridSpan w:val="4"/>
            <w:tcBorders>
              <w:right w:val="nil"/>
            </w:tcBorders>
            <w:noWrap/>
            <w:hideMark/>
          </w:tcPr>
          <w:p w14:paraId="35BA3D2B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Tipi di cliente (PPE, funzionari, banca dati SECO)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44C971B0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44176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3" w:type="dxa"/>
                <w:noWrap/>
                <w:hideMark/>
              </w:tcPr>
              <w:p w14:paraId="7F1B4952" w14:textId="175845BC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0390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92730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noWrap/>
                <w:hideMark/>
              </w:tcPr>
              <w:p w14:paraId="54D8CD91" w14:textId="410C7435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0390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2279F3D3" w14:textId="77777777" w:rsidTr="00D03907">
        <w:trPr>
          <w:trHeight w:val="300"/>
        </w:trPr>
        <w:tc>
          <w:tcPr>
            <w:tcW w:w="4326" w:type="dxa"/>
            <w:gridSpan w:val="2"/>
            <w:tcBorders>
              <w:right w:val="nil"/>
            </w:tcBorders>
            <w:noWrap/>
            <w:hideMark/>
          </w:tcPr>
          <w:p w14:paraId="3B28BC62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Strutture complesse</w:t>
            </w: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4CFC2B6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16D820E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712326EE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86389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3" w:type="dxa"/>
                <w:noWrap/>
                <w:hideMark/>
              </w:tcPr>
              <w:p w14:paraId="6C995C1D" w14:textId="1A6F9414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72279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noWrap/>
                <w:hideMark/>
              </w:tcPr>
              <w:p w14:paraId="526FB4DA" w14:textId="5B4AEF0D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7B2B5711" w14:textId="77777777" w:rsidTr="00D03907">
        <w:trPr>
          <w:trHeight w:val="300"/>
        </w:trPr>
        <w:tc>
          <w:tcPr>
            <w:tcW w:w="4326" w:type="dxa"/>
            <w:gridSpan w:val="2"/>
            <w:tcBorders>
              <w:right w:val="nil"/>
            </w:tcBorders>
            <w:noWrap/>
            <w:hideMark/>
          </w:tcPr>
          <w:p w14:paraId="3B8BBD52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 xml:space="preserve">Tipo di transazioni </w:t>
            </w:r>
          </w:p>
        </w:tc>
        <w:tc>
          <w:tcPr>
            <w:tcW w:w="947" w:type="dxa"/>
            <w:tcBorders>
              <w:left w:val="nil"/>
              <w:right w:val="nil"/>
            </w:tcBorders>
            <w:noWrap/>
            <w:hideMark/>
          </w:tcPr>
          <w:p w14:paraId="7AEABA31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  <w:noWrap/>
            <w:hideMark/>
          </w:tcPr>
          <w:p w14:paraId="19F5EDFA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noWrap/>
            <w:hideMark/>
          </w:tcPr>
          <w:p w14:paraId="0AB7532F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200694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3" w:type="dxa"/>
                <w:noWrap/>
                <w:hideMark/>
              </w:tcPr>
              <w:p w14:paraId="35FEF0DD" w14:textId="126E5AAC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92811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noWrap/>
                <w:hideMark/>
              </w:tcPr>
              <w:p w14:paraId="106B305F" w14:textId="426BBA5D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31FEC43B" w14:textId="77777777" w:rsidTr="00D03907">
        <w:trPr>
          <w:trHeight w:val="300"/>
        </w:trPr>
        <w:tc>
          <w:tcPr>
            <w:tcW w:w="6448" w:type="dxa"/>
            <w:gridSpan w:val="5"/>
            <w:noWrap/>
            <w:hideMark/>
          </w:tcPr>
          <w:p w14:paraId="48B82DF9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Provenienza delle controparti e/o dell’avente economicamente diritto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88833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1" w:type="dxa"/>
                <w:gridSpan w:val="2"/>
                <w:noWrap/>
                <w:hideMark/>
              </w:tcPr>
              <w:p w14:paraId="5CC87A9A" w14:textId="0A574B07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0390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83102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noWrap/>
                <w:hideMark/>
              </w:tcPr>
              <w:p w14:paraId="12145B49" w14:textId="47823196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25CD0B90" w14:textId="77777777" w:rsidTr="00D03907">
        <w:trPr>
          <w:trHeight w:val="315"/>
        </w:trPr>
        <w:tc>
          <w:tcPr>
            <w:tcW w:w="6220" w:type="dxa"/>
            <w:gridSpan w:val="4"/>
            <w:tcBorders>
              <w:right w:val="nil"/>
            </w:tcBorders>
            <w:noWrap/>
            <w:hideMark/>
          </w:tcPr>
          <w:p w14:paraId="15BAD491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 xml:space="preserve">Frequenti operazioni di cassa, Money </w:t>
            </w:r>
            <w:proofErr w:type="spellStart"/>
            <w:r w:rsidRPr="00D03907">
              <w:rPr>
                <w:rFonts w:ascii="Arial" w:hAnsi="Arial" w:cs="Arial"/>
                <w:sz w:val="20"/>
                <w:szCs w:val="20"/>
              </w:rPr>
              <w:t>Transmitting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3B797CF1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13590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3" w:type="dxa"/>
                <w:tcBorders>
                  <w:bottom w:val="single" w:sz="12" w:space="0" w:color="auto"/>
                </w:tcBorders>
                <w:noWrap/>
                <w:hideMark/>
              </w:tcPr>
              <w:p w14:paraId="3EBB0138" w14:textId="26B87E6E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90236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tcBorders>
                  <w:bottom w:val="single" w:sz="12" w:space="0" w:color="auto"/>
                </w:tcBorders>
                <w:noWrap/>
                <w:hideMark/>
              </w:tcPr>
              <w:p w14:paraId="272A88C1" w14:textId="4D7326D5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03907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4071D888" w14:textId="77777777" w:rsidTr="00D03907">
        <w:trPr>
          <w:trHeight w:val="300"/>
        </w:trPr>
        <w:tc>
          <w:tcPr>
            <w:tcW w:w="6220" w:type="dxa"/>
            <w:gridSpan w:val="4"/>
            <w:tcBorders>
              <w:right w:val="nil"/>
            </w:tcBorders>
            <w:noWrap/>
            <w:hideMark/>
          </w:tcPr>
          <w:p w14:paraId="464156AC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907">
              <w:rPr>
                <w:rFonts w:ascii="Arial" w:hAnsi="Arial" w:cs="Arial"/>
                <w:b/>
                <w:bCs/>
                <w:sz w:val="20"/>
                <w:szCs w:val="20"/>
              </w:rPr>
              <w:t>Valutazione complessiva del rischio inerente</w:t>
            </w:r>
          </w:p>
        </w:tc>
        <w:tc>
          <w:tcPr>
            <w:tcW w:w="236" w:type="dxa"/>
            <w:gridSpan w:val="2"/>
            <w:tcBorders>
              <w:left w:val="nil"/>
            </w:tcBorders>
            <w:noWrap/>
            <w:hideMark/>
          </w:tcPr>
          <w:p w14:paraId="53A6E9A3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78581513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04" w:type="dxa"/>
                <w:gridSpan w:val="2"/>
                <w:noWrap/>
                <w:hideMark/>
              </w:tcPr>
              <w:p w14:paraId="455DF44C" w14:textId="22048015" w:rsidR="00D03907" w:rsidRPr="00D03907" w:rsidRDefault="00D03907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03907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°°°°</w:t>
                </w:r>
              </w:p>
            </w:tc>
          </w:sdtContent>
        </w:sdt>
      </w:tr>
    </w:tbl>
    <w:p w14:paraId="474906BB" w14:textId="77777777" w:rsidR="00304E0D" w:rsidRPr="004B0C83" w:rsidRDefault="00304E0D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</w:p>
    <w:p w14:paraId="360E097F" w14:textId="41F3B56D" w:rsidR="00C30309" w:rsidRPr="004B0C83" w:rsidRDefault="00C30309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34CE9F45" w14:textId="6F448D69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33F1DEDF" w14:textId="424A91B5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41C49655" w14:textId="17282784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7A80C1A0" w14:textId="4FB63F6A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1DAB9B4E" w14:textId="12065EF3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197556B6" w14:textId="15D3A228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73009A04" w14:textId="58CE13D8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74DC2B38" w14:textId="4B441118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0D50917A" w14:textId="7724948B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516394CD" w14:textId="140B7D48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17D1F34C" w14:textId="7BF836E3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7C5EA25D" w14:textId="44864F4B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6F9CC0F1" w14:textId="21B67BF9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70BED6E5" w14:textId="531EA0D3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590C9BF0" w14:textId="2C4B1657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57A4CB90" w14:textId="31970EF4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0B257E3C" w14:textId="524450B1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21D880ED" w14:textId="197B0B4D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206D3A21" w14:textId="13AECEB2" w:rsidR="00573ACA" w:rsidRPr="004B0C83" w:rsidRDefault="00573ACA" w:rsidP="00BE2923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343C4773" w14:textId="1BDD767B" w:rsidR="00515AEF" w:rsidRDefault="00515AEF">
      <w:pPr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br w:type="page"/>
      </w:r>
    </w:p>
    <w:p w14:paraId="10172759" w14:textId="3C15B7F6" w:rsidR="00C30309" w:rsidRPr="004B0C83" w:rsidRDefault="001921CB" w:rsidP="007E3BA1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Style w:val="st"/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1.2</w:t>
      </w:r>
      <w:r>
        <w:tab/>
      </w:r>
      <w:r>
        <w:rPr>
          <w:rFonts w:ascii="Arial" w:hAnsi="Arial"/>
          <w:b/>
          <w:sz w:val="20"/>
        </w:rPr>
        <w:t>Valutazione del rischio coerente (rischio di controllo)</w:t>
      </w:r>
    </w:p>
    <w:p w14:paraId="7E0505C1" w14:textId="24BF4B9A" w:rsidR="00CB65B3" w:rsidRPr="004B0C83" w:rsidRDefault="000B1F30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Il rischio di controllo deve essere determinato in base all’organizzazione dell’intermediario finanziario sottoposto a controllo. Bisogna determinare il grado di rischio a seconda dei meccanismi di controllo in essere risp. dei provvedimenti e delle misure adottati. La valutazione non necessita di verifica dell’efficacia.</w:t>
      </w:r>
    </w:p>
    <w:p w14:paraId="59C40ED0" w14:textId="00D37DFA" w:rsidR="00CB65B3" w:rsidRDefault="00CB65B3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71"/>
        <w:gridCol w:w="1129"/>
      </w:tblGrid>
      <w:tr w:rsidR="00D03907" w:rsidRPr="00D03907" w14:paraId="09934C68" w14:textId="77777777" w:rsidTr="00D03907">
        <w:trPr>
          <w:trHeight w:val="300"/>
        </w:trPr>
        <w:tc>
          <w:tcPr>
            <w:tcW w:w="1200" w:type="dxa"/>
            <w:tcBorders>
              <w:right w:val="nil"/>
            </w:tcBorders>
            <w:noWrap/>
            <w:hideMark/>
          </w:tcPr>
          <w:p w14:paraId="7BE53618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Criterio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3592F48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F779AAC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A759732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2C36236B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noWrap/>
            <w:hideMark/>
          </w:tcPr>
          <w:p w14:paraId="33F999F0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Valutazione del rischio</w:t>
            </w:r>
          </w:p>
        </w:tc>
      </w:tr>
      <w:tr w:rsidR="00D03907" w:rsidRPr="00D03907" w14:paraId="5F8E1AE0" w14:textId="77777777" w:rsidTr="00D03907">
        <w:trPr>
          <w:trHeight w:val="300"/>
        </w:trPr>
        <w:tc>
          <w:tcPr>
            <w:tcW w:w="1200" w:type="dxa"/>
            <w:tcBorders>
              <w:right w:val="nil"/>
            </w:tcBorders>
            <w:noWrap/>
            <w:hideMark/>
          </w:tcPr>
          <w:p w14:paraId="72E6D871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noWrap/>
            <w:hideMark/>
          </w:tcPr>
          <w:p w14:paraId="1D0A5CC4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noWrap/>
            <w:hideMark/>
          </w:tcPr>
          <w:p w14:paraId="31958C78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noWrap/>
            <w:hideMark/>
          </w:tcPr>
          <w:p w14:paraId="513A9316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</w:tcBorders>
            <w:noWrap/>
            <w:hideMark/>
          </w:tcPr>
          <w:p w14:paraId="4F29955F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  <w:hideMark/>
          </w:tcPr>
          <w:p w14:paraId="09544A50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Normale</w:t>
            </w:r>
          </w:p>
        </w:tc>
        <w:tc>
          <w:tcPr>
            <w:tcW w:w="1129" w:type="dxa"/>
            <w:noWrap/>
            <w:hideMark/>
          </w:tcPr>
          <w:p w14:paraId="01B388A7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Elevato</w:t>
            </w:r>
          </w:p>
        </w:tc>
      </w:tr>
      <w:tr w:rsidR="00D03907" w:rsidRPr="00D03907" w14:paraId="5DBA738B" w14:textId="77777777" w:rsidTr="00D03907">
        <w:trPr>
          <w:trHeight w:val="300"/>
        </w:trPr>
        <w:tc>
          <w:tcPr>
            <w:tcW w:w="6000" w:type="dxa"/>
            <w:gridSpan w:val="5"/>
            <w:hideMark/>
          </w:tcPr>
          <w:p w14:paraId="69A9E3A8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I settori principali dell’ambiente di controllo sono documentati.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24190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noWrap/>
                <w:hideMark/>
              </w:tcPr>
              <w:p w14:paraId="358FA489" w14:textId="30487DF1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73107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  <w:hideMark/>
              </w:tcPr>
              <w:p w14:paraId="62A7E2F3" w14:textId="239E7371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2BC9D2B9" w14:textId="77777777" w:rsidTr="00D03907">
        <w:trPr>
          <w:trHeight w:val="300"/>
        </w:trPr>
        <w:tc>
          <w:tcPr>
            <w:tcW w:w="6000" w:type="dxa"/>
            <w:gridSpan w:val="5"/>
            <w:hideMark/>
          </w:tcPr>
          <w:p w14:paraId="54EF9195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Nei settori critici sono previste separazioni di funzioni.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10893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noWrap/>
                <w:hideMark/>
              </w:tcPr>
              <w:p w14:paraId="05B0E529" w14:textId="07B1CED4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06263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  <w:hideMark/>
              </w:tcPr>
              <w:p w14:paraId="6E541C2D" w14:textId="0BD213DD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352C4FAD" w14:textId="77777777" w:rsidTr="00D03907">
        <w:trPr>
          <w:trHeight w:val="300"/>
        </w:trPr>
        <w:tc>
          <w:tcPr>
            <w:tcW w:w="6000" w:type="dxa"/>
            <w:gridSpan w:val="5"/>
            <w:hideMark/>
          </w:tcPr>
          <w:p w14:paraId="78A5DE18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Sono previste separazioni di funzioni nel traffico dei pagamenti.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92858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noWrap/>
                <w:hideMark/>
              </w:tcPr>
              <w:p w14:paraId="0E462539" w14:textId="1560CA5A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29641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  <w:hideMark/>
              </w:tcPr>
              <w:p w14:paraId="340EC1C4" w14:textId="68311110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C686E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7B9D784F" w14:textId="77777777" w:rsidTr="00D03907">
        <w:trPr>
          <w:trHeight w:val="480"/>
        </w:trPr>
        <w:tc>
          <w:tcPr>
            <w:tcW w:w="6000" w:type="dxa"/>
            <w:gridSpan w:val="5"/>
            <w:hideMark/>
          </w:tcPr>
          <w:p w14:paraId="7FF960A8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I relativi documenti sull’ambiente di controllo sono presenti e sono noti ai collaboratori.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213899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noWrap/>
                <w:hideMark/>
              </w:tcPr>
              <w:p w14:paraId="1CFE11CF" w14:textId="4AF75C59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34598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  <w:hideMark/>
              </w:tcPr>
              <w:p w14:paraId="59FDE094" w14:textId="2932CF22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C686E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5DC7466A" w14:textId="77777777" w:rsidTr="00D03907">
        <w:trPr>
          <w:trHeight w:val="630"/>
        </w:trPr>
        <w:tc>
          <w:tcPr>
            <w:tcW w:w="6000" w:type="dxa"/>
            <w:gridSpan w:val="5"/>
            <w:hideMark/>
          </w:tcPr>
          <w:p w14:paraId="631D7A24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Direzione aziendale e responsabile LRD (persone di contatto LRD) svolgono funzioni di controllo/vigilanza.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70347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noWrap/>
                <w:hideMark/>
              </w:tcPr>
              <w:p w14:paraId="7CE39243" w14:textId="0D11A138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56056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  <w:hideMark/>
              </w:tcPr>
              <w:p w14:paraId="416F16B7" w14:textId="66BE5F9F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7957A1F9" w14:textId="77777777" w:rsidTr="00D03907">
        <w:trPr>
          <w:trHeight w:val="435"/>
        </w:trPr>
        <w:tc>
          <w:tcPr>
            <w:tcW w:w="6000" w:type="dxa"/>
            <w:gridSpan w:val="5"/>
            <w:hideMark/>
          </w:tcPr>
          <w:p w14:paraId="40E54BD7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Sono presenti organigrammi, regolamenti su firme e visti.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84498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noWrap/>
                <w:hideMark/>
              </w:tcPr>
              <w:p w14:paraId="379B5032" w14:textId="67B26ED3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C686E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64888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  <w:hideMark/>
              </w:tcPr>
              <w:p w14:paraId="5C6066E1" w14:textId="7B5F586D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3F39E21E" w14:textId="77777777" w:rsidTr="00D03907">
        <w:trPr>
          <w:trHeight w:val="495"/>
        </w:trPr>
        <w:tc>
          <w:tcPr>
            <w:tcW w:w="6000" w:type="dxa"/>
            <w:gridSpan w:val="5"/>
            <w:hideMark/>
          </w:tcPr>
          <w:p w14:paraId="31EDBE4D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Di principio è prevista la firma collettiva. Sono previsti regolamenti idonei sull’e-banking.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76151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noWrap/>
                <w:hideMark/>
              </w:tcPr>
              <w:p w14:paraId="08AA58BB" w14:textId="2B16E474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94164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  <w:hideMark/>
              </w:tcPr>
              <w:p w14:paraId="0A1ABFB9" w14:textId="00F694D2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15053A7F" w14:textId="77777777" w:rsidTr="00D03907">
        <w:trPr>
          <w:trHeight w:val="540"/>
        </w:trPr>
        <w:tc>
          <w:tcPr>
            <w:tcW w:w="6000" w:type="dxa"/>
            <w:gridSpan w:val="5"/>
            <w:hideMark/>
          </w:tcPr>
          <w:p w14:paraId="2AA45E6F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L’approccio all’ambiente di controllo della direzione aziendale e del responsabile LRD è adeguato.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36162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noWrap/>
                <w:hideMark/>
              </w:tcPr>
              <w:p w14:paraId="7EC79160" w14:textId="3879162F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23442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  <w:hideMark/>
              </w:tcPr>
              <w:p w14:paraId="492113E6" w14:textId="481E2148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53FF8A7C" w14:textId="77777777" w:rsidTr="00D03907">
        <w:trPr>
          <w:trHeight w:val="600"/>
        </w:trPr>
        <w:tc>
          <w:tcPr>
            <w:tcW w:w="6000" w:type="dxa"/>
            <w:gridSpan w:val="5"/>
            <w:hideMark/>
          </w:tcPr>
          <w:p w14:paraId="04A1C8BF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Congrua ripartizione delle relazioni d’affari rilevanti per la LRD con rischio elevato.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43644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noWrap/>
                <w:hideMark/>
              </w:tcPr>
              <w:p w14:paraId="4D9EFA1D" w14:textId="04C275A8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29445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noWrap/>
                <w:hideMark/>
              </w:tcPr>
              <w:p w14:paraId="66EE0340" w14:textId="7DAC4212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C686E"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0E2E9649" w14:textId="77777777" w:rsidTr="00D03907">
        <w:trPr>
          <w:trHeight w:val="585"/>
        </w:trPr>
        <w:tc>
          <w:tcPr>
            <w:tcW w:w="6000" w:type="dxa"/>
            <w:gridSpan w:val="5"/>
            <w:hideMark/>
          </w:tcPr>
          <w:p w14:paraId="0D70A7E4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Valutazione del processo di consultazione della lista delle sanzioni da parte dell’intermediario finanziario.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20813522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bottom w:val="single" w:sz="4" w:space="0" w:color="auto"/>
                </w:tcBorders>
                <w:noWrap/>
                <w:hideMark/>
              </w:tcPr>
              <w:p w14:paraId="35E59E6F" w14:textId="7BEB85EE" w:rsidR="00D03907" w:rsidRPr="00D03907" w:rsidRDefault="008E53B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80935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bottom w:val="single" w:sz="4" w:space="0" w:color="auto"/>
                </w:tcBorders>
                <w:noWrap/>
                <w:hideMark/>
              </w:tcPr>
              <w:p w14:paraId="44FBE28A" w14:textId="166649A3" w:rsidR="00D03907" w:rsidRPr="00D03907" w:rsidRDefault="00BC686E" w:rsidP="00D03907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03907" w:rsidRPr="00D03907" w14:paraId="51BB3D84" w14:textId="77777777" w:rsidTr="00D03907">
        <w:trPr>
          <w:trHeight w:val="315"/>
        </w:trPr>
        <w:tc>
          <w:tcPr>
            <w:tcW w:w="1200" w:type="dxa"/>
            <w:tcBorders>
              <w:right w:val="nil"/>
            </w:tcBorders>
            <w:noWrap/>
            <w:hideMark/>
          </w:tcPr>
          <w:p w14:paraId="2C48334E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90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00" w:type="dxa"/>
            <w:tcBorders>
              <w:left w:val="nil"/>
              <w:right w:val="nil"/>
            </w:tcBorders>
            <w:noWrap/>
            <w:hideMark/>
          </w:tcPr>
          <w:p w14:paraId="68E5076F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noWrap/>
            <w:hideMark/>
          </w:tcPr>
          <w:p w14:paraId="355B0DD5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noWrap/>
            <w:hideMark/>
          </w:tcPr>
          <w:p w14:paraId="012E7C6C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7FF1E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3B31179" w14:textId="5EB7606C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7B1F972" w14:textId="3BFAF0DE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907" w:rsidRPr="00D03907" w14:paraId="1D745CFF" w14:textId="77777777" w:rsidTr="00D03907">
        <w:trPr>
          <w:trHeight w:val="300"/>
        </w:trPr>
        <w:tc>
          <w:tcPr>
            <w:tcW w:w="4800" w:type="dxa"/>
            <w:gridSpan w:val="4"/>
            <w:tcBorders>
              <w:right w:val="nil"/>
            </w:tcBorders>
            <w:noWrap/>
            <w:hideMark/>
          </w:tcPr>
          <w:p w14:paraId="1733C626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907">
              <w:rPr>
                <w:rFonts w:ascii="Arial" w:hAnsi="Arial" w:cs="Arial"/>
                <w:b/>
                <w:bCs/>
                <w:sz w:val="20"/>
                <w:szCs w:val="20"/>
              </w:rPr>
              <w:t>Valutazione complessiva del rischio di controllo</w:t>
            </w:r>
          </w:p>
        </w:tc>
        <w:tc>
          <w:tcPr>
            <w:tcW w:w="1200" w:type="dxa"/>
            <w:tcBorders>
              <w:left w:val="nil"/>
            </w:tcBorders>
            <w:noWrap/>
            <w:hideMark/>
          </w:tcPr>
          <w:p w14:paraId="38456770" w14:textId="77777777" w:rsidR="00D03907" w:rsidRPr="00D03907" w:rsidRDefault="00D03907" w:rsidP="00D03907">
            <w:pPr>
              <w:pStyle w:val="KeinLeerraum"/>
              <w:tabs>
                <w:tab w:val="left" w:pos="3119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5468039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00" w:type="dxa"/>
                <w:gridSpan w:val="2"/>
                <w:noWrap/>
                <w:hideMark/>
              </w:tcPr>
              <w:p w14:paraId="599E000A" w14:textId="25B906FB" w:rsidR="00D03907" w:rsidRPr="00D03907" w:rsidRDefault="00BC686E" w:rsidP="00BC686E">
                <w:pPr>
                  <w:pStyle w:val="KeinLeerraum"/>
                  <w:tabs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C686E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°°°°</w:t>
                </w:r>
              </w:p>
            </w:tc>
          </w:sdtContent>
        </w:sdt>
      </w:tr>
    </w:tbl>
    <w:p w14:paraId="4C948C41" w14:textId="77777777" w:rsidR="00D03907" w:rsidRDefault="00D03907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</w:p>
    <w:p w14:paraId="42A9A60E" w14:textId="5AF415CC" w:rsidR="00515AEF" w:rsidRDefault="00515AEF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</w:p>
    <w:p w14:paraId="4252BEFC" w14:textId="1F045514" w:rsidR="00515AEF" w:rsidRDefault="00515AEF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</w:p>
    <w:p w14:paraId="0440AB0C" w14:textId="725B2F77" w:rsidR="00515AEF" w:rsidRDefault="00515AEF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</w:p>
    <w:p w14:paraId="2F38E2AA" w14:textId="6C06A06B" w:rsidR="00515AEF" w:rsidRDefault="00515AEF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</w:p>
    <w:p w14:paraId="55451092" w14:textId="77777777" w:rsidR="00515AEF" w:rsidRPr="004B0C83" w:rsidRDefault="00515AEF" w:rsidP="00B9560E">
      <w:pPr>
        <w:pStyle w:val="KeinLeerraum"/>
        <w:tabs>
          <w:tab w:val="left" w:pos="3119"/>
        </w:tabs>
        <w:spacing w:before="60" w:after="60"/>
        <w:jc w:val="both"/>
        <w:rPr>
          <w:rStyle w:val="st"/>
          <w:rFonts w:ascii="Arial" w:hAnsi="Arial" w:cs="Arial"/>
          <w:sz w:val="20"/>
          <w:szCs w:val="20"/>
        </w:rPr>
      </w:pPr>
    </w:p>
    <w:p w14:paraId="02EB04CD" w14:textId="4EB05D48" w:rsidR="00C30309" w:rsidRPr="004B0C83" w:rsidRDefault="00C30309" w:rsidP="00C30309">
      <w:pPr>
        <w:pStyle w:val="KeinLeerraum"/>
        <w:tabs>
          <w:tab w:val="left" w:pos="3119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3AAD89E6" w14:textId="1897AD7A" w:rsidR="006668AD" w:rsidRPr="004B0C83" w:rsidRDefault="006668AD">
      <w:pPr>
        <w:rPr>
          <w:rStyle w:val="st"/>
          <w:rFonts w:ascii="Arial" w:hAnsi="Arial" w:cs="Arial"/>
          <w:sz w:val="2"/>
          <w:szCs w:val="2"/>
        </w:rPr>
      </w:pPr>
      <w:r>
        <w:br w:type="page"/>
      </w:r>
    </w:p>
    <w:p w14:paraId="63994B9D" w14:textId="5DF136AF" w:rsidR="00C30309" w:rsidRPr="004B0C83" w:rsidRDefault="001921CB" w:rsidP="00C3030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Style w:val="st"/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2</w:t>
      </w:r>
      <w:r>
        <w:tab/>
      </w:r>
      <w:r>
        <w:rPr>
          <w:rFonts w:ascii="Arial" w:hAnsi="Arial"/>
          <w:b/>
          <w:sz w:val="20"/>
        </w:rPr>
        <w:t>Analisi del profilo di rischio (rischio complessivo)</w:t>
      </w:r>
    </w:p>
    <w:p w14:paraId="41110487" w14:textId="41845215" w:rsidR="00EF68A6" w:rsidRDefault="000B7922" w:rsidP="00CB7916">
      <w:pPr>
        <w:pStyle w:val="KeinLeerraum"/>
        <w:tabs>
          <w:tab w:val="left" w:pos="3119"/>
        </w:tabs>
        <w:jc w:val="both"/>
        <w:rPr>
          <w:rStyle w:val="st"/>
          <w:rFonts w:ascii="Arial" w:hAnsi="Arial"/>
          <w:sz w:val="20"/>
        </w:rPr>
      </w:pPr>
      <w:r>
        <w:rPr>
          <w:rStyle w:val="st"/>
          <w:rFonts w:ascii="Arial" w:hAnsi="Arial"/>
          <w:sz w:val="20"/>
        </w:rPr>
        <w:t>Il rischio complessivo si evince dalla combinazione di rischio inerente e rischio coerente.</w:t>
      </w:r>
    </w:p>
    <w:p w14:paraId="0C4DD8C2" w14:textId="54A1BD05" w:rsidR="0069559F" w:rsidRDefault="0069559F" w:rsidP="00CB7916">
      <w:pPr>
        <w:pStyle w:val="KeinLeerraum"/>
        <w:tabs>
          <w:tab w:val="left" w:pos="3119"/>
        </w:tabs>
        <w:jc w:val="both"/>
        <w:rPr>
          <w:rStyle w:val="st"/>
          <w:rFonts w:ascii="Arial" w:hAnsi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9"/>
        <w:gridCol w:w="325"/>
        <w:gridCol w:w="2679"/>
        <w:gridCol w:w="1131"/>
        <w:gridCol w:w="2246"/>
      </w:tblGrid>
      <w:tr w:rsidR="0069559F" w:rsidRPr="0069559F" w14:paraId="5C74A61C" w14:textId="77777777" w:rsidTr="0069559F">
        <w:trPr>
          <w:trHeight w:val="300"/>
        </w:trPr>
        <w:tc>
          <w:tcPr>
            <w:tcW w:w="6000" w:type="dxa"/>
            <w:gridSpan w:val="3"/>
            <w:vMerge w:val="restart"/>
            <w:noWrap/>
            <w:hideMark/>
          </w:tcPr>
          <w:p w14:paraId="504E83FA" w14:textId="77777777" w:rsidR="0069559F" w:rsidRDefault="0069559F" w:rsidP="0069559F">
            <w:pPr>
              <w:pStyle w:val="KeinLeerraum"/>
              <w:tabs>
                <w:tab w:val="left" w:pos="3119"/>
              </w:tabs>
              <w:jc w:val="center"/>
              <w:rPr>
                <w:rFonts w:ascii="Arial" w:hAnsi="Arial"/>
                <w:sz w:val="20"/>
              </w:rPr>
            </w:pPr>
          </w:p>
          <w:p w14:paraId="250C9D95" w14:textId="1E7381FD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center"/>
              <w:rPr>
                <w:rFonts w:ascii="Arial" w:hAnsi="Arial"/>
                <w:sz w:val="20"/>
              </w:rPr>
            </w:pPr>
            <w:r w:rsidRPr="0069559F">
              <w:rPr>
                <w:rFonts w:ascii="Arial" w:hAnsi="Arial"/>
                <w:sz w:val="20"/>
              </w:rPr>
              <w:t>Rischio inerente  + rischio coerente =</w:t>
            </w:r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14:paraId="70061DF0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0" w:type="dxa"/>
            <w:vMerge w:val="restart"/>
            <w:noWrap/>
            <w:hideMark/>
          </w:tcPr>
          <w:p w14:paraId="25005C5D" w14:textId="77777777" w:rsid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  <w:p w14:paraId="35B784F6" w14:textId="163C5E75" w:rsidR="0069559F" w:rsidRPr="0069559F" w:rsidRDefault="0069559F" w:rsidP="005C3F64">
            <w:pPr>
              <w:pStyle w:val="KeinLeerraum"/>
              <w:tabs>
                <w:tab w:val="left" w:pos="3119"/>
              </w:tabs>
              <w:jc w:val="center"/>
              <w:rPr>
                <w:rFonts w:ascii="Arial" w:hAnsi="Arial"/>
                <w:sz w:val="20"/>
              </w:rPr>
            </w:pPr>
            <w:r w:rsidRPr="0069559F">
              <w:rPr>
                <w:rFonts w:ascii="Arial" w:hAnsi="Arial"/>
                <w:sz w:val="20"/>
              </w:rPr>
              <w:t>rischio complessivo</w:t>
            </w:r>
          </w:p>
        </w:tc>
      </w:tr>
      <w:tr w:rsidR="0069559F" w:rsidRPr="0069559F" w14:paraId="42DD49DF" w14:textId="77777777" w:rsidTr="0069559F">
        <w:trPr>
          <w:trHeight w:val="450"/>
        </w:trPr>
        <w:tc>
          <w:tcPr>
            <w:tcW w:w="6000" w:type="dxa"/>
            <w:gridSpan w:val="3"/>
            <w:vMerge/>
            <w:hideMark/>
          </w:tcPr>
          <w:p w14:paraId="02156AB9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14:paraId="0AABF9ED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0" w:type="dxa"/>
            <w:vMerge/>
            <w:hideMark/>
          </w:tcPr>
          <w:p w14:paraId="029FADDB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69559F" w:rsidRPr="0069559F" w14:paraId="460B66C2" w14:textId="77777777" w:rsidTr="0069559F">
        <w:trPr>
          <w:trHeight w:val="300"/>
        </w:trPr>
        <w:tc>
          <w:tcPr>
            <w:tcW w:w="2867" w:type="dxa"/>
            <w:vMerge w:val="restart"/>
            <w:hideMark/>
          </w:tcPr>
          <w:p w14:paraId="3E67B7C0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center"/>
              <w:rPr>
                <w:rFonts w:ascii="Arial" w:hAnsi="Arial"/>
                <w:sz w:val="20"/>
              </w:rPr>
            </w:pPr>
            <w:r w:rsidRPr="0069559F">
              <w:rPr>
                <w:rFonts w:ascii="Arial" w:hAnsi="Arial"/>
                <w:sz w:val="20"/>
              </w:rPr>
              <w:t>Rischio inerente (RI)</w:t>
            </w:r>
            <w:r w:rsidRPr="0069559F">
              <w:rPr>
                <w:rFonts w:ascii="Arial" w:hAnsi="Arial"/>
                <w:sz w:val="20"/>
              </w:rPr>
              <w:br/>
            </w:r>
            <w:proofErr w:type="spellStart"/>
            <w:r w:rsidRPr="0069559F">
              <w:rPr>
                <w:rFonts w:ascii="Arial" w:hAnsi="Arial"/>
                <w:sz w:val="20"/>
              </w:rPr>
              <w:t>conf</w:t>
            </w:r>
            <w:proofErr w:type="spellEnd"/>
            <w:r w:rsidRPr="0069559F">
              <w:rPr>
                <w:rFonts w:ascii="Arial" w:hAnsi="Arial"/>
                <w:sz w:val="20"/>
              </w:rPr>
              <w:t>. risultato 1.1</w:t>
            </w:r>
          </w:p>
        </w:tc>
        <w:tc>
          <w:tcPr>
            <w:tcW w:w="267" w:type="dxa"/>
            <w:tcBorders>
              <w:bottom w:val="nil"/>
            </w:tcBorders>
            <w:noWrap/>
            <w:hideMark/>
          </w:tcPr>
          <w:p w14:paraId="2C010C21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66" w:type="dxa"/>
            <w:vMerge w:val="restart"/>
            <w:hideMark/>
          </w:tcPr>
          <w:p w14:paraId="3F3B1D7D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center"/>
              <w:rPr>
                <w:rFonts w:ascii="Arial" w:hAnsi="Arial"/>
                <w:sz w:val="20"/>
              </w:rPr>
            </w:pPr>
            <w:r w:rsidRPr="0069559F">
              <w:rPr>
                <w:rFonts w:ascii="Arial" w:hAnsi="Arial"/>
                <w:sz w:val="20"/>
              </w:rPr>
              <w:t>Rischio inerente (RI)</w:t>
            </w:r>
            <w:r w:rsidRPr="0069559F">
              <w:rPr>
                <w:rFonts w:ascii="Arial" w:hAnsi="Arial"/>
                <w:sz w:val="20"/>
              </w:rPr>
              <w:br/>
            </w:r>
            <w:proofErr w:type="spellStart"/>
            <w:r w:rsidRPr="0069559F">
              <w:rPr>
                <w:rFonts w:ascii="Arial" w:hAnsi="Arial"/>
                <w:sz w:val="20"/>
              </w:rPr>
              <w:t>conf</w:t>
            </w:r>
            <w:proofErr w:type="spellEnd"/>
            <w:r w:rsidRPr="0069559F">
              <w:rPr>
                <w:rFonts w:ascii="Arial" w:hAnsi="Arial"/>
                <w:sz w:val="20"/>
              </w:rPr>
              <w:t>. risultato 1.2</w:t>
            </w:r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14:paraId="59E71388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0" w:type="dxa"/>
            <w:vMerge w:val="restart"/>
            <w:hideMark/>
          </w:tcPr>
          <w:p w14:paraId="10E5416B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center"/>
              <w:rPr>
                <w:rFonts w:ascii="Arial" w:hAnsi="Arial"/>
                <w:sz w:val="20"/>
              </w:rPr>
            </w:pPr>
            <w:r w:rsidRPr="0069559F">
              <w:rPr>
                <w:rFonts w:ascii="Arial" w:hAnsi="Arial"/>
                <w:sz w:val="20"/>
              </w:rPr>
              <w:t>Rischio complessivo (rischio di errore)</w:t>
            </w:r>
            <w:r w:rsidRPr="0069559F">
              <w:rPr>
                <w:rFonts w:ascii="Arial" w:hAnsi="Arial"/>
                <w:sz w:val="20"/>
              </w:rPr>
              <w:br/>
              <w:t>(IR + KR)</w:t>
            </w:r>
          </w:p>
        </w:tc>
      </w:tr>
      <w:tr w:rsidR="0069559F" w:rsidRPr="0069559F" w14:paraId="22466D96" w14:textId="77777777" w:rsidTr="0072652B">
        <w:trPr>
          <w:trHeight w:val="540"/>
        </w:trPr>
        <w:tc>
          <w:tcPr>
            <w:tcW w:w="2867" w:type="dxa"/>
            <w:vMerge/>
            <w:tcBorders>
              <w:bottom w:val="single" w:sz="12" w:space="0" w:color="auto"/>
            </w:tcBorders>
            <w:hideMark/>
          </w:tcPr>
          <w:p w14:paraId="3E7205DB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67" w:type="dxa"/>
            <w:tcBorders>
              <w:top w:val="nil"/>
            </w:tcBorders>
            <w:noWrap/>
            <w:hideMark/>
          </w:tcPr>
          <w:p w14:paraId="3757732F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66" w:type="dxa"/>
            <w:vMerge/>
            <w:tcBorders>
              <w:bottom w:val="single" w:sz="12" w:space="0" w:color="auto"/>
            </w:tcBorders>
            <w:hideMark/>
          </w:tcPr>
          <w:p w14:paraId="30EA96A3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14:paraId="32A1A669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0" w:type="dxa"/>
            <w:vMerge/>
            <w:tcBorders>
              <w:bottom w:val="single" w:sz="12" w:space="0" w:color="auto"/>
            </w:tcBorders>
            <w:hideMark/>
          </w:tcPr>
          <w:p w14:paraId="7E79D0A6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69559F" w:rsidRPr="0069559F" w14:paraId="49EF5B80" w14:textId="77777777" w:rsidTr="0072652B">
        <w:trPr>
          <w:trHeight w:val="315"/>
        </w:trPr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2E6E1F2" w14:textId="09129A5D" w:rsidR="0069559F" w:rsidRPr="0069559F" w:rsidRDefault="00C56629" w:rsidP="0072652B">
            <w:pPr>
              <w:pStyle w:val="KeinLeerraum"/>
              <w:tabs>
                <w:tab w:val="left" w:pos="3119"/>
              </w:tabs>
              <w:jc w:val="center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  <w:highlight w:val="lightGray"/>
                </w:rPr>
                <w:id w:val="-9714306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2652B" w:rsidRPr="0072652B">
                  <w:rPr>
                    <w:rFonts w:ascii="Arial" w:hAnsi="Arial"/>
                    <w:sz w:val="20"/>
                    <w:highlight w:val="lightGray"/>
                  </w:rPr>
                  <w:t>°°°°</w:t>
                </w:r>
              </w:sdtContent>
            </w:sdt>
          </w:p>
        </w:tc>
        <w:tc>
          <w:tcPr>
            <w:tcW w:w="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E76BB35" w14:textId="77777777" w:rsidR="0069559F" w:rsidRPr="0069559F" w:rsidRDefault="0069559F" w:rsidP="0069559F">
            <w:pPr>
              <w:pStyle w:val="KeinLeerraum"/>
              <w:tabs>
                <w:tab w:val="left" w:pos="3119"/>
              </w:tabs>
              <w:jc w:val="both"/>
              <w:rPr>
                <w:rFonts w:ascii="Arial" w:hAnsi="Arial"/>
                <w:sz w:val="20"/>
              </w:rPr>
            </w:pPr>
            <w:r w:rsidRPr="0069559F">
              <w:rPr>
                <w:rFonts w:ascii="Arial" w:hAnsi="Arial"/>
                <w:sz w:val="20"/>
              </w:rPr>
              <w:t>+</w:t>
            </w:r>
          </w:p>
        </w:tc>
        <w:sdt>
          <w:sdtPr>
            <w:rPr>
              <w:rFonts w:ascii="Arial" w:hAnsi="Arial"/>
              <w:sz w:val="20"/>
              <w:highlight w:val="lightGray"/>
            </w:rPr>
            <w:id w:val="20006960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6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noWrap/>
                <w:hideMark/>
              </w:tcPr>
              <w:p w14:paraId="5BF8C63B" w14:textId="25B36ABA" w:rsidR="0069559F" w:rsidRPr="0069559F" w:rsidRDefault="0072652B" w:rsidP="0072652B">
                <w:pPr>
                  <w:pStyle w:val="KeinLeerraum"/>
                  <w:tabs>
                    <w:tab w:val="left" w:pos="3119"/>
                  </w:tabs>
                  <w:jc w:val="center"/>
                  <w:rPr>
                    <w:rFonts w:ascii="Arial" w:hAnsi="Arial"/>
                    <w:sz w:val="20"/>
                  </w:rPr>
                </w:pPr>
                <w:r w:rsidRPr="0072652B">
                  <w:rPr>
                    <w:rFonts w:ascii="Arial" w:hAnsi="Arial"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1D9BE71" w14:textId="77777777" w:rsidR="0069559F" w:rsidRPr="0069559F" w:rsidRDefault="0069559F" w:rsidP="0072652B">
            <w:pPr>
              <w:pStyle w:val="KeinLeerraum"/>
              <w:tabs>
                <w:tab w:val="left" w:pos="3119"/>
              </w:tabs>
              <w:jc w:val="center"/>
              <w:rPr>
                <w:rFonts w:ascii="Arial" w:hAnsi="Arial"/>
                <w:sz w:val="20"/>
              </w:rPr>
            </w:pPr>
            <w:r w:rsidRPr="0069559F">
              <w:rPr>
                <w:rFonts w:ascii="Arial" w:hAnsi="Arial"/>
                <w:sz w:val="20"/>
              </w:rPr>
              <w:t>=</w:t>
            </w:r>
          </w:p>
        </w:tc>
        <w:sdt>
          <w:sdtPr>
            <w:rPr>
              <w:rFonts w:ascii="Arial" w:hAnsi="Arial"/>
              <w:sz w:val="20"/>
              <w:highlight w:val="lightGray"/>
            </w:rPr>
            <w:id w:val="-14173181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0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noWrap/>
                <w:hideMark/>
              </w:tcPr>
              <w:p w14:paraId="496BDC4D" w14:textId="73096F3E" w:rsidR="0069559F" w:rsidRPr="0069559F" w:rsidRDefault="0072652B" w:rsidP="0072652B">
                <w:pPr>
                  <w:pStyle w:val="KeinLeerraum"/>
                  <w:tabs>
                    <w:tab w:val="left" w:pos="3119"/>
                  </w:tabs>
                  <w:jc w:val="center"/>
                  <w:rPr>
                    <w:rFonts w:ascii="Arial" w:hAnsi="Arial"/>
                    <w:sz w:val="20"/>
                  </w:rPr>
                </w:pPr>
                <w:r w:rsidRPr="0072652B">
                  <w:rPr>
                    <w:rFonts w:ascii="Arial" w:hAnsi="Arial"/>
                    <w:sz w:val="20"/>
                    <w:highlight w:val="lightGray"/>
                  </w:rPr>
                  <w:t>°°°°</w:t>
                </w:r>
              </w:p>
            </w:tc>
          </w:sdtContent>
        </w:sdt>
      </w:tr>
    </w:tbl>
    <w:p w14:paraId="5BDD5D8E" w14:textId="2ED288E4" w:rsidR="0069559F" w:rsidRDefault="0069559F" w:rsidP="00CB7916">
      <w:pPr>
        <w:pStyle w:val="KeinLeerraum"/>
        <w:tabs>
          <w:tab w:val="left" w:pos="3119"/>
        </w:tabs>
        <w:jc w:val="both"/>
        <w:rPr>
          <w:rStyle w:val="st"/>
          <w:rFonts w:ascii="Arial" w:hAnsi="Arial"/>
          <w:sz w:val="20"/>
        </w:rPr>
      </w:pPr>
    </w:p>
    <w:p w14:paraId="6BDD09AF" w14:textId="65D05162" w:rsidR="00515AEF" w:rsidRDefault="00515AEF" w:rsidP="00CB7916">
      <w:pPr>
        <w:pStyle w:val="KeinLeerraum"/>
        <w:tabs>
          <w:tab w:val="left" w:pos="3119"/>
        </w:tabs>
        <w:jc w:val="both"/>
        <w:rPr>
          <w:rStyle w:val="st"/>
          <w:rFonts w:ascii="Arial" w:hAnsi="Arial"/>
          <w:sz w:val="20"/>
        </w:rPr>
      </w:pPr>
    </w:p>
    <w:p w14:paraId="61E1DF7B" w14:textId="1A92C7D3" w:rsidR="00515AEF" w:rsidRDefault="00515AEF" w:rsidP="00CB7916">
      <w:pPr>
        <w:pStyle w:val="KeinLeerraum"/>
        <w:tabs>
          <w:tab w:val="left" w:pos="3119"/>
        </w:tabs>
        <w:jc w:val="both"/>
        <w:rPr>
          <w:rStyle w:val="st"/>
          <w:rFonts w:ascii="Arial" w:hAnsi="Arial"/>
          <w:sz w:val="20"/>
        </w:rPr>
      </w:pPr>
    </w:p>
    <w:p w14:paraId="27B83DA6" w14:textId="46C933B3" w:rsidR="0004069A" w:rsidRPr="004B0C83" w:rsidRDefault="0004069A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Dall’analisi del rischio, in base alla classificazione del rischio complessivo risultante sulla scala di rischio, emerge che l’intermediario finanziario ha un’esposizione al rischio</w:t>
      </w:r>
    </w:p>
    <w:p w14:paraId="7C54919B" w14:textId="531618A4" w:rsidR="0004069A" w:rsidRPr="004B0C83" w:rsidRDefault="0004069A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08EEA2E9" w14:textId="36C64B06" w:rsidR="0004069A" w:rsidRPr="004B0C83" w:rsidRDefault="00C56629" w:rsidP="00CB7916">
      <w:pPr>
        <w:pStyle w:val="KeinLeerraum"/>
        <w:tabs>
          <w:tab w:val="left" w:pos="567"/>
          <w:tab w:val="left" w:pos="1843"/>
        </w:tabs>
        <w:jc w:val="both"/>
        <w:rPr>
          <w:rStyle w:val="st"/>
          <w:rFonts w:ascii="Arial" w:hAnsi="Arial" w:cs="Arial"/>
          <w:sz w:val="20"/>
          <w:szCs w:val="20"/>
        </w:rPr>
      </w:pPr>
      <w:sdt>
        <w:sdtPr>
          <w:rPr>
            <w:rStyle w:val="st"/>
            <w:rFonts w:ascii="Arial" w:hAnsi="Arial" w:cs="Arial"/>
            <w:sz w:val="20"/>
            <w:szCs w:val="20"/>
            <w:shd w:val="clear" w:color="auto" w:fill="D9D9D9" w:themeFill="background1" w:themeFillShade="D9"/>
          </w:rPr>
          <w:id w:val="-557017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"/>
          </w:rPr>
        </w:sdtEndPr>
        <w:sdtContent>
          <w:r w:rsidR="008E53BE">
            <w:rPr>
              <w:rStyle w:val="st"/>
              <w:rFonts w:ascii="MS Gothic" w:eastAsia="MS Gothic" w:hAnsi="MS Gothic" w:cs="Arial" w:hint="eastAsia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4B0C83">
        <w:tab/>
      </w:r>
      <w:r w:rsidR="004B0C83">
        <w:rPr>
          <w:rStyle w:val="st"/>
          <w:rFonts w:ascii="Arial" w:hAnsi="Arial"/>
          <w:sz w:val="20"/>
        </w:rPr>
        <w:t>normale</w:t>
      </w:r>
      <w:r w:rsidR="004B0C83">
        <w:tab/>
      </w:r>
      <w:r w:rsidR="004B0C83">
        <w:rPr>
          <w:rStyle w:val="st"/>
          <w:rFonts w:ascii="Arial" w:hAnsi="Arial"/>
          <w:sz w:val="20"/>
        </w:rPr>
        <w:t>(rischio complessivo 20 – 30 punti)</w:t>
      </w:r>
    </w:p>
    <w:p w14:paraId="4E675086" w14:textId="7C365F3A" w:rsidR="0004069A" w:rsidRPr="004B0C83" w:rsidRDefault="00C56629" w:rsidP="00CB7916">
      <w:pPr>
        <w:pStyle w:val="KeinLeerraum"/>
        <w:tabs>
          <w:tab w:val="left" w:pos="567"/>
          <w:tab w:val="left" w:pos="1843"/>
        </w:tabs>
        <w:jc w:val="both"/>
        <w:rPr>
          <w:rStyle w:val="st"/>
          <w:rFonts w:ascii="Arial" w:hAnsi="Arial" w:cs="Arial"/>
          <w:sz w:val="20"/>
          <w:szCs w:val="20"/>
        </w:rPr>
      </w:pPr>
      <w:sdt>
        <w:sdtPr>
          <w:rPr>
            <w:rStyle w:val="st"/>
            <w:rFonts w:ascii="Arial" w:hAnsi="Arial" w:cs="Arial"/>
            <w:sz w:val="20"/>
            <w:szCs w:val="20"/>
            <w:shd w:val="clear" w:color="auto" w:fill="D9D9D9" w:themeFill="background1" w:themeFillShade="D9"/>
          </w:rPr>
          <w:id w:val="1041013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"/>
          </w:rPr>
        </w:sdtEndPr>
        <w:sdtContent>
          <w:r w:rsidR="008E53BE" w:rsidRPr="008E53BE">
            <w:rPr>
              <w:rStyle w:val="st"/>
              <w:rFonts w:ascii="MS Gothic" w:eastAsia="MS Gothic" w:hAnsi="MS Gothic" w:cs="Arial" w:hint="eastAsia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4B0C83">
        <w:tab/>
      </w:r>
      <w:r w:rsidR="004B0C83">
        <w:rPr>
          <w:rStyle w:val="st"/>
          <w:rFonts w:ascii="Arial" w:hAnsi="Arial"/>
          <w:sz w:val="20"/>
        </w:rPr>
        <w:t>elevata</w:t>
      </w:r>
      <w:r w:rsidR="004B0C83">
        <w:tab/>
      </w:r>
      <w:r w:rsidR="004B0C83">
        <w:rPr>
          <w:rStyle w:val="st"/>
          <w:rFonts w:ascii="Arial" w:hAnsi="Arial"/>
          <w:sz w:val="20"/>
        </w:rPr>
        <w:t>(rischio complessivo 30 – 40 punti)</w:t>
      </w:r>
    </w:p>
    <w:p w14:paraId="569722BE" w14:textId="4DCDC448" w:rsidR="0004069A" w:rsidRPr="004B0C83" w:rsidRDefault="0004069A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48564899" w14:textId="3C0CDDA5" w:rsidR="00E22457" w:rsidRPr="004B0C83" w:rsidRDefault="00E22457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nell’esercizio della sua attività.</w:t>
      </w:r>
    </w:p>
    <w:p w14:paraId="0BA55E94" w14:textId="77777777" w:rsidR="0004069A" w:rsidRPr="004B0C83" w:rsidRDefault="0004069A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4ED0D6FB" w14:textId="15A9A29C" w:rsidR="001558C0" w:rsidRPr="004B0C83" w:rsidRDefault="001921CB" w:rsidP="001558C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Style w:val="st"/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3</w:t>
      </w:r>
      <w:r>
        <w:tab/>
      </w:r>
      <w:r>
        <w:rPr>
          <w:rFonts w:ascii="Arial" w:hAnsi="Arial"/>
          <w:b/>
          <w:sz w:val="20"/>
        </w:rPr>
        <w:t>Conseguenze della stima del rischio</w:t>
      </w:r>
    </w:p>
    <w:p w14:paraId="6BC3A6CF" w14:textId="35B9151D" w:rsidR="0004069A" w:rsidRPr="004B0C83" w:rsidRDefault="001558C0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A seconda di come viene classificato il rischio dell’intermediario finanziario, si può procedere come segue:</w:t>
      </w:r>
    </w:p>
    <w:p w14:paraId="7DCDF8E7" w14:textId="4B66665E" w:rsidR="001558C0" w:rsidRPr="004B0C83" w:rsidRDefault="001558C0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32720CE6" w14:textId="21334902" w:rsidR="001558C0" w:rsidRPr="004B0C83" w:rsidRDefault="00B9560E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rischio normale:</w:t>
      </w:r>
    </w:p>
    <w:p w14:paraId="10A7EFAF" w14:textId="1FAB2360" w:rsidR="006D4224" w:rsidRPr="004B0C83" w:rsidRDefault="006D4224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000A2AA9" w14:textId="75C37D91" w:rsidR="006D4224" w:rsidRPr="004B0C83" w:rsidRDefault="006D4224" w:rsidP="006D4224">
      <w:pPr>
        <w:pStyle w:val="KeinLeerraum"/>
        <w:numPr>
          <w:ilvl w:val="0"/>
          <w:numId w:val="16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registrazione delle carenze accertate.</w:t>
      </w:r>
    </w:p>
    <w:p w14:paraId="7016F286" w14:textId="7B6D1328" w:rsidR="006D4224" w:rsidRPr="004B0C83" w:rsidRDefault="006D4224" w:rsidP="006D4224">
      <w:pPr>
        <w:pStyle w:val="KeinLeerraum"/>
        <w:numPr>
          <w:ilvl w:val="0"/>
          <w:numId w:val="16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Eventuale sollecitazione a eliminare le carenze accertate da parte dell’Organo di controllo OAD.</w:t>
      </w:r>
    </w:p>
    <w:p w14:paraId="4719E5F9" w14:textId="5AA26467" w:rsidR="006D4224" w:rsidRPr="004B0C83" w:rsidRDefault="00635C1F" w:rsidP="006D4224">
      <w:pPr>
        <w:pStyle w:val="KeinLeerraum"/>
        <w:numPr>
          <w:ilvl w:val="0"/>
          <w:numId w:val="16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…</w:t>
      </w:r>
    </w:p>
    <w:p w14:paraId="111628F6" w14:textId="77777777" w:rsidR="003F7472" w:rsidRPr="004B0C83" w:rsidRDefault="003F7472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164D97F0" w14:textId="5879E3BC" w:rsidR="001558C0" w:rsidRPr="004B0C83" w:rsidRDefault="00B9560E" w:rsidP="001558C0">
      <w:pPr>
        <w:pStyle w:val="KeinLeerraum"/>
        <w:tabs>
          <w:tab w:val="center" w:pos="4535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rischio elevato:</w:t>
      </w:r>
    </w:p>
    <w:p w14:paraId="55D212CB" w14:textId="26B570DB" w:rsidR="0004069A" w:rsidRPr="004B0C83" w:rsidRDefault="0004069A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6E668288" w14:textId="769189FC" w:rsidR="00635C1F" w:rsidRPr="004B0C83" w:rsidRDefault="00635C1F" w:rsidP="003F7472">
      <w:pPr>
        <w:pStyle w:val="KeinLeerraum"/>
        <w:numPr>
          <w:ilvl w:val="0"/>
          <w:numId w:val="15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Registrazione come nel caso di rischio normale.</w:t>
      </w:r>
    </w:p>
    <w:p w14:paraId="1D0C09F2" w14:textId="2018B1B7" w:rsidR="002F07E9" w:rsidRPr="004B0C83" w:rsidRDefault="002F07E9" w:rsidP="003F7472">
      <w:pPr>
        <w:pStyle w:val="KeinLeerraum"/>
        <w:numPr>
          <w:ilvl w:val="0"/>
          <w:numId w:val="15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Fissazione di scadenza e condizioni da parte dell’Organo di controllo OAD per la presentazione di un piano volto a ridurre sufficientemente l’esposizione al rischio.</w:t>
      </w:r>
    </w:p>
    <w:p w14:paraId="2BC89E68" w14:textId="61499B94" w:rsidR="00750215" w:rsidRPr="004B0C83" w:rsidRDefault="00750215" w:rsidP="003F7472">
      <w:pPr>
        <w:pStyle w:val="KeinLeerraum"/>
        <w:numPr>
          <w:ilvl w:val="0"/>
          <w:numId w:val="15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In caso di soluzione insufficiente, si procede a una presa di posizione scritta con spiegazione delle carenze accertate.</w:t>
      </w:r>
    </w:p>
    <w:p w14:paraId="19B74F69" w14:textId="76837613" w:rsidR="0004069A" w:rsidRPr="004B0C83" w:rsidRDefault="003F7472" w:rsidP="003F7472">
      <w:pPr>
        <w:pStyle w:val="KeinLeerraum"/>
        <w:numPr>
          <w:ilvl w:val="0"/>
          <w:numId w:val="15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Nessuna concessione di periodo di controllo prolungato.</w:t>
      </w:r>
    </w:p>
    <w:p w14:paraId="00DEC794" w14:textId="1D78380C" w:rsidR="00903C4B" w:rsidRPr="004B0C83" w:rsidRDefault="00903C4B" w:rsidP="003F7472">
      <w:pPr>
        <w:pStyle w:val="KeinLeerraum"/>
        <w:numPr>
          <w:ilvl w:val="0"/>
          <w:numId w:val="15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Possibile svolgimento di controlli a campione da parte dell’Organo di controllo OAD.</w:t>
      </w:r>
    </w:p>
    <w:p w14:paraId="4E9B875C" w14:textId="46677FA2" w:rsidR="003F7472" w:rsidRPr="004B0C83" w:rsidRDefault="009605F3" w:rsidP="009605F3">
      <w:pPr>
        <w:pStyle w:val="KeinLeerraum"/>
        <w:numPr>
          <w:ilvl w:val="0"/>
          <w:numId w:val="15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Devono essere presi in considerazione ulteriori controlli (controlli di follow-up, vigilanza diretta da parte dell’Organo di controllo OAD). È possibile evitare ulteriori controlli se il risultato dei controlli da parte della società di audit non contiene richiami a violazioni (perché si sostiene che l’IF gestisce la propria organizzazione in modo professionale).</w:t>
      </w:r>
    </w:p>
    <w:p w14:paraId="61A0854C" w14:textId="1E342DF3" w:rsidR="009605F3" w:rsidRPr="004B0C83" w:rsidRDefault="00635C1F" w:rsidP="009605F3">
      <w:pPr>
        <w:pStyle w:val="KeinLeerraum"/>
        <w:numPr>
          <w:ilvl w:val="0"/>
          <w:numId w:val="15"/>
        </w:numPr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/>
          <w:sz w:val="20"/>
        </w:rPr>
        <w:t>…</w:t>
      </w:r>
    </w:p>
    <w:p w14:paraId="3905FAAB" w14:textId="5B6E82D0" w:rsidR="00C76869" w:rsidRPr="004B0C83" w:rsidRDefault="00C76869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561CDF58" w14:textId="11003726" w:rsidR="0018589B" w:rsidRPr="004B0C83" w:rsidRDefault="0018589B" w:rsidP="0018589B">
      <w:pPr>
        <w:pStyle w:val="KeinLeerraum"/>
        <w:tabs>
          <w:tab w:val="left" w:pos="241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77726011" w14:textId="58B1F62C" w:rsidR="00EF68A6" w:rsidRPr="004B0C83" w:rsidRDefault="00EF68A6" w:rsidP="00EF68A6">
      <w:pPr>
        <w:pStyle w:val="KeinLeerraum"/>
        <w:jc w:val="both"/>
        <w:rPr>
          <w:rStyle w:val="st"/>
          <w:rFonts w:ascii="Arial" w:hAnsi="Arial" w:cs="Arial"/>
          <w:sz w:val="20"/>
          <w:szCs w:val="20"/>
        </w:rPr>
      </w:pPr>
    </w:p>
    <w:p w14:paraId="693D45F4" w14:textId="79F5899D" w:rsidR="00EF68A6" w:rsidRPr="004B0C83" w:rsidRDefault="00EF68A6" w:rsidP="00EF68A6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  <w:sectPr w:rsidR="00EF68A6" w:rsidRPr="004B0C83" w:rsidSect="00515AEF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418" w:right="1418" w:bottom="426" w:left="1418" w:header="709" w:footer="0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single" w:sz="2" w:space="0" w:color="5B9BD5" w:themeColor="accent1"/>
          <w:left w:val="single" w:sz="2" w:space="0" w:color="5B9BD5" w:themeColor="accent1"/>
          <w:bottom w:val="single" w:sz="2" w:space="0" w:color="5B9BD5" w:themeColor="accent1"/>
          <w:right w:val="single" w:sz="2" w:space="0" w:color="5B9BD5" w:themeColor="accent1"/>
          <w:insideH w:val="single" w:sz="2" w:space="0" w:color="5B9BD5" w:themeColor="accent1"/>
          <w:insideV w:val="single" w:sz="2" w:space="0" w:color="5B9BD5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53BE" w14:paraId="1D2E1D42" w14:textId="77777777" w:rsidTr="00FE2B4F">
        <w:tc>
          <w:tcPr>
            <w:tcW w:w="4531" w:type="dxa"/>
          </w:tcPr>
          <w:p w14:paraId="1A54A398" w14:textId="77777777" w:rsidR="008E53BE" w:rsidRPr="008557A0" w:rsidRDefault="008E53BE" w:rsidP="00FE2B4F">
            <w:pPr>
              <w:pStyle w:val="KeinLeerraum"/>
              <w:tabs>
                <w:tab w:val="left" w:pos="5670"/>
              </w:tabs>
              <w:jc w:val="both"/>
              <w:rPr>
                <w:rStyle w:val="st"/>
                <w:rFonts w:ascii="Arial" w:hAnsi="Arial" w:cs="Arial"/>
                <w:sz w:val="20"/>
                <w:szCs w:val="20"/>
              </w:rPr>
            </w:pPr>
            <w:r>
              <w:rPr>
                <w:rStyle w:val="st"/>
                <w:rFonts w:ascii="Arial" w:hAnsi="Arial"/>
                <w:sz w:val="20"/>
              </w:rPr>
              <w:t>Luogo / Data:</w:t>
            </w:r>
          </w:p>
          <w:p w14:paraId="3C14C6D3" w14:textId="77777777" w:rsidR="008E53BE" w:rsidRDefault="008E53BE" w:rsidP="00FE2B4F">
            <w:pPr>
              <w:pStyle w:val="KeinLeerraum"/>
              <w:tabs>
                <w:tab w:val="left" w:pos="993"/>
              </w:tabs>
              <w:spacing w:line="276" w:lineRule="auto"/>
              <w:jc w:val="both"/>
              <w:rPr>
                <w:rStyle w:val="s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41C66DF" w14:textId="57EE0C7B" w:rsidR="008E53BE" w:rsidRPr="008D5E1B" w:rsidRDefault="008E53BE" w:rsidP="00FE2B4F">
            <w:pPr>
              <w:pStyle w:val="KeinLeerraum"/>
              <w:tabs>
                <w:tab w:val="left" w:pos="5670"/>
              </w:tabs>
              <w:jc w:val="both"/>
              <w:rPr>
                <w:rStyle w:val="st"/>
                <w:rFonts w:ascii="Arial" w:hAnsi="Arial" w:cs="Arial"/>
                <w:sz w:val="20"/>
                <w:szCs w:val="20"/>
              </w:rPr>
            </w:pPr>
            <w:r>
              <w:rPr>
                <w:rStyle w:val="st"/>
                <w:rFonts w:ascii="Arial" w:hAnsi="Arial"/>
                <w:sz w:val="20"/>
              </w:rPr>
              <w:t>Visto:</w:t>
            </w:r>
          </w:p>
          <w:p w14:paraId="50A320CC" w14:textId="6D1B2392" w:rsidR="008E53BE" w:rsidRPr="00EE516A" w:rsidRDefault="008E53BE" w:rsidP="00FE2B4F">
            <w:pPr>
              <w:pStyle w:val="KeinLeerraum"/>
              <w:tabs>
                <w:tab w:val="left" w:pos="5670"/>
              </w:tabs>
              <w:jc w:val="both"/>
              <w:rPr>
                <w:rStyle w:val="st"/>
                <w:rFonts w:ascii="Arial" w:hAnsi="Arial" w:cs="Arial"/>
                <w:i/>
                <w:sz w:val="24"/>
                <w:szCs w:val="24"/>
                <w:vertAlign w:val="subscript"/>
              </w:rPr>
            </w:pPr>
          </w:p>
        </w:tc>
      </w:tr>
      <w:tr w:rsidR="008E53BE" w14:paraId="140C2E94" w14:textId="77777777" w:rsidTr="00FE2B4F">
        <w:tc>
          <w:tcPr>
            <w:tcW w:w="4531" w:type="dxa"/>
          </w:tcPr>
          <w:p w14:paraId="0D253D14" w14:textId="77777777" w:rsidR="008E53BE" w:rsidRDefault="008E53BE" w:rsidP="00FE2B4F">
            <w:pPr>
              <w:pStyle w:val="KeinLeerraum"/>
              <w:tabs>
                <w:tab w:val="left" w:pos="993"/>
              </w:tabs>
              <w:jc w:val="both"/>
              <w:rPr>
                <w:rStyle w:val="st"/>
                <w:rFonts w:ascii="Arial" w:hAnsi="Arial" w:cs="Arial"/>
                <w:sz w:val="20"/>
                <w:szCs w:val="20"/>
              </w:rPr>
            </w:pPr>
            <w:r w:rsidRPr="007969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69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698B">
              <w:rPr>
                <w:rFonts w:ascii="Arial" w:hAnsi="Arial" w:cs="Arial"/>
                <w:sz w:val="20"/>
                <w:szCs w:val="20"/>
              </w:rPr>
            </w:r>
            <w:r w:rsidRPr="007969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9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69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69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69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69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69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sdt>
            <w:sdtPr>
              <w:rPr>
                <w:rFonts w:ascii="Arial" w:hAnsi="Arial" w:cs="Arial"/>
                <w:noProof/>
                <w:sz w:val="20"/>
                <w:szCs w:val="20"/>
                <w:shd w:val="clear" w:color="auto" w:fill="D9D9D9" w:themeFill="background1" w:themeFillShade="D9"/>
              </w:rPr>
              <w:id w:val="-781338858"/>
              <w:placeholder>
                <w:docPart w:val="DefaultPlaceholder_-1854013440"/>
              </w:placeholder>
              <w:text/>
            </w:sdtPr>
            <w:sdtContent>
              <w:p w14:paraId="68A4E268" w14:textId="73D36B10" w:rsidR="008E53BE" w:rsidRPr="00C56629" w:rsidRDefault="00C56629" w:rsidP="00FE2B4F">
                <w:pPr>
                  <w:pStyle w:val="KeinLeerraum"/>
                  <w:tabs>
                    <w:tab w:val="left" w:pos="993"/>
                  </w:tabs>
                  <w:jc w:val="both"/>
                  <w:rPr>
                    <w:noProof/>
                  </w:rPr>
                </w:pPr>
                <w:r w:rsidRPr="00C56629">
                  <w:rPr>
                    <w:rFonts w:ascii="Arial" w:hAnsi="Arial" w:cs="Arial"/>
                    <w:noProof/>
                    <w:sz w:val="20"/>
                    <w:szCs w:val="20"/>
                    <w:shd w:val="clear" w:color="auto" w:fill="D9D9D9" w:themeFill="background1" w:themeFillShade="D9"/>
                  </w:rPr>
                  <w:t>°°°°°</w:t>
                </w:r>
              </w:p>
            </w:sdtContent>
          </w:sdt>
          <w:p w14:paraId="188EAE30" w14:textId="77777777" w:rsidR="008E53BE" w:rsidRDefault="008E53BE" w:rsidP="00FE2B4F">
            <w:pPr>
              <w:pStyle w:val="KeinLeerraum"/>
              <w:tabs>
                <w:tab w:val="left" w:pos="993"/>
              </w:tabs>
              <w:jc w:val="both"/>
              <w:rPr>
                <w:rStyle w:val="st"/>
                <w:rFonts w:ascii="Arial" w:hAnsi="Arial" w:cs="Arial"/>
                <w:sz w:val="20"/>
                <w:szCs w:val="20"/>
              </w:rPr>
            </w:pPr>
          </w:p>
          <w:p w14:paraId="34BD2B53" w14:textId="77777777" w:rsidR="008E53BE" w:rsidRDefault="008E53BE" w:rsidP="00FE2B4F">
            <w:pPr>
              <w:pStyle w:val="KeinLeerraum"/>
              <w:tabs>
                <w:tab w:val="left" w:pos="993"/>
              </w:tabs>
              <w:jc w:val="both"/>
              <w:rPr>
                <w:rStyle w:val="st"/>
                <w:rFonts w:ascii="Arial" w:hAnsi="Arial" w:cs="Arial"/>
                <w:sz w:val="20"/>
                <w:szCs w:val="20"/>
              </w:rPr>
            </w:pPr>
          </w:p>
          <w:p w14:paraId="5833D85B" w14:textId="77777777" w:rsidR="008E53BE" w:rsidRDefault="008E53BE" w:rsidP="00FE2B4F">
            <w:pPr>
              <w:pStyle w:val="KeinLeerraum"/>
              <w:tabs>
                <w:tab w:val="left" w:pos="993"/>
              </w:tabs>
              <w:jc w:val="both"/>
              <w:rPr>
                <w:rStyle w:val="st"/>
                <w:rFonts w:ascii="Arial" w:hAnsi="Arial" w:cs="Arial"/>
                <w:sz w:val="20"/>
                <w:szCs w:val="20"/>
              </w:rPr>
            </w:pPr>
          </w:p>
          <w:p w14:paraId="580006A8" w14:textId="77777777" w:rsidR="008E53BE" w:rsidRDefault="008E53BE" w:rsidP="00FE2B4F">
            <w:pPr>
              <w:pStyle w:val="KeinLeerraum"/>
              <w:tabs>
                <w:tab w:val="left" w:pos="993"/>
              </w:tabs>
              <w:jc w:val="both"/>
              <w:rPr>
                <w:rStyle w:val="st"/>
                <w:rFonts w:ascii="Arial" w:hAnsi="Arial" w:cs="Arial"/>
                <w:sz w:val="20"/>
                <w:szCs w:val="20"/>
              </w:rPr>
            </w:pPr>
          </w:p>
        </w:tc>
      </w:tr>
    </w:tbl>
    <w:p w14:paraId="38C3EA95" w14:textId="3A2A6DB8" w:rsidR="00CB65B3" w:rsidRPr="004B0C83" w:rsidRDefault="00CB65B3" w:rsidP="00EF68A6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08C00324" w14:textId="1CD0DB9F" w:rsidR="00CB65B3" w:rsidRPr="004B0C83" w:rsidRDefault="00CB65B3" w:rsidP="00EF68A6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75AFFD77" w14:textId="2E276D61" w:rsidR="007D3740" w:rsidRPr="004B0C83" w:rsidRDefault="007D3740" w:rsidP="00EF68A6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399BE42D" w14:textId="4A54378F" w:rsidR="007D3740" w:rsidRPr="004B0C83" w:rsidRDefault="007D3740" w:rsidP="00EF68A6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20"/>
          <w:szCs w:val="20"/>
        </w:rPr>
      </w:pPr>
    </w:p>
    <w:p w14:paraId="4A2836DD" w14:textId="2D227200" w:rsidR="00490438" w:rsidRPr="004B0C83" w:rsidRDefault="00490438" w:rsidP="00EF68A6">
      <w:pPr>
        <w:pStyle w:val="KeinLeerraum"/>
        <w:jc w:val="both"/>
        <w:rPr>
          <w:rStyle w:val="st"/>
          <w:rFonts w:ascii="Arial" w:hAnsi="Arial" w:cs="Arial"/>
          <w:sz w:val="20"/>
          <w:szCs w:val="20"/>
        </w:rPr>
      </w:pPr>
    </w:p>
    <w:sectPr w:rsidR="00490438" w:rsidRPr="004B0C83" w:rsidSect="008E53BE">
      <w:type w:val="continuous"/>
      <w:pgSz w:w="11906" w:h="16838"/>
      <w:pgMar w:top="141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38F52" w14:textId="77777777" w:rsidR="003C30A1" w:rsidRDefault="003C30A1" w:rsidP="00A04616">
      <w:pPr>
        <w:spacing w:after="0" w:line="240" w:lineRule="auto"/>
      </w:pPr>
      <w:r>
        <w:separator/>
      </w:r>
    </w:p>
  </w:endnote>
  <w:endnote w:type="continuationSeparator" w:id="0">
    <w:p w14:paraId="0A60CF00" w14:textId="77777777" w:rsidR="003C30A1" w:rsidRDefault="003C30A1" w:rsidP="00A0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54EA" w14:textId="77777777" w:rsidR="00515AEF" w:rsidRDefault="00515AEF" w:rsidP="00515AEF">
    <w:pPr>
      <w:pStyle w:val="Fuzeile"/>
      <w:jc w:val="center"/>
      <w:rPr>
        <w:sz w:val="18"/>
        <w:szCs w:val="18"/>
        <w:lang w:val="it-CH" w:eastAsia="en-US" w:bidi="ar-SA"/>
      </w:rPr>
    </w:pPr>
  </w:p>
  <w:p w14:paraId="197B893E" w14:textId="5B247478" w:rsidR="00515AEF" w:rsidRPr="00862390" w:rsidRDefault="00515AEF" w:rsidP="00515AEF">
    <w:pPr>
      <w:pStyle w:val="Fuzeile"/>
      <w:jc w:val="center"/>
      <w:rPr>
        <w:sz w:val="18"/>
        <w:szCs w:val="18"/>
        <w:lang w:val="it-CH"/>
      </w:rPr>
    </w:pPr>
    <w:r>
      <w:rPr>
        <w:sz w:val="18"/>
        <w:szCs w:val="18"/>
        <w:lang w:val="it-CH" w:eastAsia="en-US" w:bidi="ar-SA"/>
      </w:rPr>
      <w:t>Analisi del rischio</w:t>
    </w:r>
    <w:r>
      <w:rPr>
        <w:sz w:val="18"/>
        <w:szCs w:val="18"/>
        <w:lang w:val="it-CH"/>
      </w:rPr>
      <w:tab/>
      <w:t xml:space="preserve">        OAD</w:t>
    </w:r>
    <w:r w:rsidRPr="00862390">
      <w:rPr>
        <w:rFonts w:ascii="Calibri" w:hAnsi="Calibri" w:cs="Arial"/>
        <w:sz w:val="18"/>
        <w:szCs w:val="18"/>
        <w:lang w:val="it-CH"/>
      </w:rPr>
      <w:t>-</w:t>
    </w:r>
    <w:r>
      <w:rPr>
        <w:rFonts w:ascii="Calibri" w:hAnsi="Calibri" w:cs="Arial"/>
        <w:sz w:val="18"/>
        <w:szCs w:val="18"/>
        <w:lang w:val="it-CH"/>
      </w:rPr>
      <w:t>FIDUCIARI</w:t>
    </w:r>
    <w:r w:rsidRPr="00862390">
      <w:rPr>
        <w:rFonts w:ascii="Calibri" w:hAnsi="Calibri" w:cs="Arial"/>
        <w:sz w:val="18"/>
        <w:szCs w:val="18"/>
        <w:lang w:val="it-CH"/>
      </w:rPr>
      <w:t>|SUISSE, Monbijoustrasse 20,</w:t>
    </w:r>
    <w:r>
      <w:rPr>
        <w:rFonts w:ascii="Calibri" w:hAnsi="Calibri" w:cs="Arial"/>
        <w:sz w:val="18"/>
        <w:szCs w:val="18"/>
        <w:lang w:val="it-CH"/>
      </w:rPr>
      <w:t xml:space="preserve"> CP</w:t>
    </w:r>
    <w:r w:rsidRPr="00862390">
      <w:rPr>
        <w:rFonts w:ascii="Calibri" w:hAnsi="Calibri" w:cs="Arial"/>
        <w:sz w:val="18"/>
        <w:szCs w:val="18"/>
        <w:lang w:val="it-CH"/>
      </w:rPr>
      <w:t>, 3001 Bern</w:t>
    </w:r>
    <w:r w:rsidRPr="00862390">
      <w:rPr>
        <w:rFonts w:ascii="Calibri" w:hAnsi="Calibri" w:cs="Arial"/>
        <w:sz w:val="18"/>
        <w:szCs w:val="18"/>
        <w:lang w:val="it-CH"/>
      </w:rPr>
      <w:tab/>
      <w:t xml:space="preserve"> </w:t>
    </w:r>
    <w:r>
      <w:rPr>
        <w:rFonts w:ascii="Calibri" w:hAnsi="Calibri" w:cs="Arial"/>
        <w:sz w:val="18"/>
        <w:szCs w:val="18"/>
        <w:lang w:val="it-CH"/>
      </w:rPr>
      <w:t>Pagina</w:t>
    </w:r>
    <w:r w:rsidRPr="00862390">
      <w:rPr>
        <w:rFonts w:ascii="Calibri" w:hAnsi="Calibri" w:cs="Arial"/>
        <w:sz w:val="18"/>
        <w:szCs w:val="18"/>
        <w:lang w:val="it-CH"/>
      </w:rPr>
      <w:t xml:space="preserve"> </w:t>
    </w:r>
    <w:r w:rsidRPr="008C3769">
      <w:rPr>
        <w:rFonts w:ascii="Calibri" w:hAnsi="Calibri" w:cs="Arial"/>
        <w:bCs/>
        <w:sz w:val="18"/>
        <w:szCs w:val="18"/>
      </w:rPr>
      <w:fldChar w:fldCharType="begin"/>
    </w:r>
    <w:r w:rsidRPr="00862390">
      <w:rPr>
        <w:rFonts w:ascii="Calibri" w:hAnsi="Calibri" w:cs="Arial"/>
        <w:bCs/>
        <w:sz w:val="18"/>
        <w:szCs w:val="18"/>
        <w:lang w:val="it-CH"/>
      </w:rPr>
      <w:instrText>PAGE  \* Arabic  \* MERGEFORMAT</w:instrText>
    </w:r>
    <w:r w:rsidRPr="008C3769">
      <w:rPr>
        <w:rFonts w:ascii="Calibri" w:hAnsi="Calibri" w:cs="Arial"/>
        <w:bCs/>
        <w:sz w:val="18"/>
        <w:szCs w:val="18"/>
      </w:rPr>
      <w:fldChar w:fldCharType="separate"/>
    </w:r>
    <w:r w:rsidR="00C56629">
      <w:rPr>
        <w:rFonts w:ascii="Calibri" w:hAnsi="Calibri" w:cs="Arial"/>
        <w:bCs/>
        <w:noProof/>
        <w:sz w:val="18"/>
        <w:szCs w:val="18"/>
        <w:lang w:val="it-CH"/>
      </w:rPr>
      <w:t>3</w:t>
    </w:r>
    <w:r w:rsidRPr="008C3769">
      <w:rPr>
        <w:rFonts w:ascii="Calibri" w:hAnsi="Calibri" w:cs="Arial"/>
        <w:bCs/>
        <w:sz w:val="18"/>
        <w:szCs w:val="18"/>
      </w:rPr>
      <w:fldChar w:fldCharType="end"/>
    </w:r>
    <w:r w:rsidRPr="00862390">
      <w:rPr>
        <w:rFonts w:ascii="Calibri" w:hAnsi="Calibri" w:cs="Arial"/>
        <w:sz w:val="18"/>
        <w:szCs w:val="18"/>
        <w:lang w:val="it-CH"/>
      </w:rPr>
      <w:t xml:space="preserve"> </w:t>
    </w:r>
    <w:r>
      <w:rPr>
        <w:rFonts w:ascii="Calibri" w:hAnsi="Calibri" w:cs="Arial"/>
        <w:sz w:val="18"/>
        <w:szCs w:val="18"/>
        <w:lang w:val="it-CH"/>
      </w:rPr>
      <w:t xml:space="preserve">di </w:t>
    </w:r>
    <w:r w:rsidRPr="008C3769">
      <w:rPr>
        <w:rFonts w:ascii="Calibri" w:hAnsi="Calibri" w:cs="Arial"/>
        <w:bCs/>
        <w:sz w:val="18"/>
        <w:szCs w:val="18"/>
      </w:rPr>
      <w:fldChar w:fldCharType="begin"/>
    </w:r>
    <w:r w:rsidRPr="00862390">
      <w:rPr>
        <w:rFonts w:ascii="Calibri" w:hAnsi="Calibri" w:cs="Arial"/>
        <w:bCs/>
        <w:sz w:val="18"/>
        <w:szCs w:val="18"/>
        <w:lang w:val="it-CH"/>
      </w:rPr>
      <w:instrText>NUMPAGES  \* Arabic  \* MERGEFORMAT</w:instrText>
    </w:r>
    <w:r w:rsidRPr="008C3769">
      <w:rPr>
        <w:rFonts w:ascii="Calibri" w:hAnsi="Calibri" w:cs="Arial"/>
        <w:bCs/>
        <w:sz w:val="18"/>
        <w:szCs w:val="18"/>
      </w:rPr>
      <w:fldChar w:fldCharType="separate"/>
    </w:r>
    <w:r w:rsidR="00C56629">
      <w:rPr>
        <w:rFonts w:ascii="Calibri" w:hAnsi="Calibri" w:cs="Arial"/>
        <w:bCs/>
        <w:noProof/>
        <w:sz w:val="18"/>
        <w:szCs w:val="18"/>
        <w:lang w:val="it-CH"/>
      </w:rPr>
      <w:t>3</w:t>
    </w:r>
    <w:r w:rsidRPr="008C3769">
      <w:rPr>
        <w:rFonts w:ascii="Calibri" w:hAnsi="Calibri" w:cs="Arial"/>
        <w:bCs/>
        <w:sz w:val="18"/>
        <w:szCs w:val="18"/>
      </w:rPr>
      <w:fldChar w:fldCharType="end"/>
    </w:r>
  </w:p>
  <w:p w14:paraId="334CD489" w14:textId="77777777" w:rsidR="00515AEF" w:rsidRPr="00862390" w:rsidRDefault="00515AEF" w:rsidP="00515AEF">
    <w:pPr>
      <w:pStyle w:val="Fuzeile"/>
      <w:jc w:val="center"/>
      <w:rPr>
        <w:rFonts w:ascii="Calibri" w:hAnsi="Calibri" w:cs="Arial"/>
        <w:sz w:val="18"/>
        <w:szCs w:val="18"/>
        <w:lang w:val="fr-CH"/>
      </w:rPr>
    </w:pPr>
    <w:r w:rsidRPr="008C3769">
      <w:rPr>
        <w:rFonts w:ascii="Calibri" w:hAnsi="Calibri" w:cs="Arial"/>
        <w:sz w:val="18"/>
        <w:szCs w:val="18"/>
      </w:rPr>
      <w:t>Tel.</w:t>
    </w:r>
    <w:r w:rsidRPr="00862390">
      <w:rPr>
        <w:rFonts w:ascii="Calibri" w:hAnsi="Calibri" w:cs="Arial"/>
        <w:sz w:val="18"/>
        <w:szCs w:val="18"/>
        <w:lang w:val="fr-CH"/>
      </w:rPr>
      <w:t>: 380 64 80 Fax: 031 380 64 31</w:t>
    </w:r>
  </w:p>
  <w:p w14:paraId="25824A69" w14:textId="77777777" w:rsidR="00515AEF" w:rsidRPr="004664FC" w:rsidRDefault="00C56629" w:rsidP="00515AEF">
    <w:pPr>
      <w:pStyle w:val="Fuzeile"/>
      <w:tabs>
        <w:tab w:val="left" w:pos="4005"/>
      </w:tabs>
      <w:jc w:val="center"/>
      <w:rPr>
        <w:sz w:val="18"/>
        <w:szCs w:val="18"/>
        <w:lang w:val="fr-CH"/>
      </w:rPr>
    </w:pPr>
    <w:hyperlink r:id="rId1" w:history="1">
      <w:r w:rsidR="00515AEF" w:rsidRPr="00E8653D">
        <w:rPr>
          <w:rStyle w:val="Hyperlink"/>
          <w:rFonts w:ascii="Calibri" w:hAnsi="Calibri" w:cs="Arial"/>
          <w:sz w:val="18"/>
          <w:szCs w:val="18"/>
          <w:lang w:val="fr-CH"/>
        </w:rPr>
        <w:t>www.oad-fiduciarisuisse.ch</w:t>
      </w:r>
    </w:hyperlink>
    <w:r w:rsidR="00515AEF" w:rsidRPr="00862390">
      <w:rPr>
        <w:rFonts w:ascii="Calibri" w:hAnsi="Calibri" w:cs="Arial"/>
        <w:sz w:val="18"/>
        <w:szCs w:val="18"/>
        <w:lang w:val="fr-CH"/>
      </w:rPr>
      <w:t xml:space="preserve"> / </w:t>
    </w:r>
    <w:hyperlink r:id="rId2" w:history="1">
      <w:r w:rsidR="00515AEF" w:rsidRPr="00E8653D">
        <w:rPr>
          <w:rStyle w:val="Hyperlink"/>
          <w:rFonts w:ascii="Calibri" w:hAnsi="Calibri" w:cs="Arial"/>
          <w:sz w:val="18"/>
          <w:szCs w:val="18"/>
          <w:lang w:val="fr-CH"/>
        </w:rPr>
        <w:t>oad@fiduciarisuisse.ch</w:t>
      </w:r>
    </w:hyperlink>
  </w:p>
  <w:p w14:paraId="61110931" w14:textId="6530BACF" w:rsidR="00EF68A6" w:rsidRPr="00515AEF" w:rsidRDefault="00EF68A6" w:rsidP="00515AEF">
    <w:pPr>
      <w:pStyle w:val="Fuzeil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C6E1" w14:textId="32041506" w:rsidR="00515AEF" w:rsidRPr="0017565C" w:rsidRDefault="00515AEF" w:rsidP="00515AEF">
    <w:pPr>
      <w:pStyle w:val="Fuzeile"/>
      <w:rPr>
        <w:sz w:val="18"/>
        <w:szCs w:val="18"/>
        <w:lang w:val="it-CH" w:eastAsia="en-US" w:bidi="ar-SA"/>
      </w:rPr>
    </w:pPr>
    <w:r>
      <w:rPr>
        <w:sz w:val="18"/>
        <w:szCs w:val="18"/>
        <w:lang w:val="it-CH" w:eastAsia="en-US" w:bidi="ar-SA"/>
      </w:rPr>
      <w:t xml:space="preserve">Analisi del rischio </w:t>
    </w:r>
    <w:r w:rsidRPr="005D0775">
      <w:rPr>
        <w:sz w:val="18"/>
        <w:szCs w:val="18"/>
        <w:lang w:val="it-CH" w:eastAsia="en-US" w:bidi="ar-SA"/>
      </w:rPr>
      <w:t xml:space="preserve"> </w:t>
    </w:r>
    <w:r w:rsidRPr="005D0775">
      <w:rPr>
        <w:sz w:val="18"/>
        <w:szCs w:val="18"/>
        <w:lang w:val="it-CH" w:eastAsia="en-US" w:bidi="ar-SA"/>
      </w:rPr>
      <w:tab/>
    </w:r>
    <w:r w:rsidRPr="005D0775">
      <w:rPr>
        <w:sz w:val="18"/>
        <w:szCs w:val="18"/>
        <w:lang w:val="it-CH" w:eastAsia="en-US" w:bidi="ar-SA"/>
      </w:rPr>
      <w:tab/>
    </w:r>
    <w:r>
      <w:rPr>
        <w:sz w:val="18"/>
        <w:szCs w:val="18"/>
        <w:lang w:val="it-CH" w:eastAsia="en-US" w:bidi="ar-SA"/>
      </w:rPr>
      <w:t>Pagina</w:t>
    </w:r>
    <w:r w:rsidRPr="005D0775">
      <w:rPr>
        <w:sz w:val="18"/>
        <w:szCs w:val="18"/>
        <w:lang w:val="it-CH" w:eastAsia="en-US" w:bidi="ar-SA"/>
      </w:rPr>
      <w:t xml:space="preserve"> </w:t>
    </w:r>
    <w:r w:rsidRPr="005D0775">
      <w:rPr>
        <w:sz w:val="18"/>
        <w:szCs w:val="18"/>
        <w:lang w:val="de-CH" w:eastAsia="en-US" w:bidi="ar-SA"/>
      </w:rPr>
      <w:fldChar w:fldCharType="begin"/>
    </w:r>
    <w:r w:rsidRPr="005D0775">
      <w:rPr>
        <w:sz w:val="18"/>
        <w:szCs w:val="18"/>
        <w:lang w:val="it-CH" w:eastAsia="en-US" w:bidi="ar-SA"/>
      </w:rPr>
      <w:instrText>PAGE  \* Arabic  \* MERGEFORMAT</w:instrText>
    </w:r>
    <w:r w:rsidRPr="005D0775">
      <w:rPr>
        <w:sz w:val="18"/>
        <w:szCs w:val="18"/>
        <w:lang w:val="de-CH" w:eastAsia="en-US" w:bidi="ar-SA"/>
      </w:rPr>
      <w:fldChar w:fldCharType="separate"/>
    </w:r>
    <w:r w:rsidR="00C56629">
      <w:rPr>
        <w:noProof/>
        <w:sz w:val="18"/>
        <w:szCs w:val="18"/>
        <w:lang w:val="it-CH" w:eastAsia="en-US" w:bidi="ar-SA"/>
      </w:rPr>
      <w:t>1</w:t>
    </w:r>
    <w:r w:rsidRPr="005D0775">
      <w:rPr>
        <w:sz w:val="18"/>
        <w:szCs w:val="18"/>
        <w:lang w:val="de-CH" w:eastAsia="en-US" w:bidi="ar-SA"/>
      </w:rPr>
      <w:fldChar w:fldCharType="end"/>
    </w:r>
    <w:r w:rsidRPr="005D0775">
      <w:rPr>
        <w:sz w:val="18"/>
        <w:szCs w:val="18"/>
        <w:lang w:val="it-CH" w:eastAsia="en-US" w:bidi="ar-SA"/>
      </w:rPr>
      <w:t xml:space="preserve"> </w:t>
    </w:r>
    <w:r>
      <w:rPr>
        <w:sz w:val="18"/>
        <w:szCs w:val="18"/>
        <w:lang w:val="it-CH" w:eastAsia="en-US" w:bidi="ar-SA"/>
      </w:rPr>
      <w:t>di</w:t>
    </w:r>
    <w:r w:rsidRPr="005D0775">
      <w:rPr>
        <w:sz w:val="18"/>
        <w:szCs w:val="18"/>
        <w:lang w:val="it-CH" w:eastAsia="en-US" w:bidi="ar-SA"/>
      </w:rPr>
      <w:t xml:space="preserve"> </w:t>
    </w:r>
    <w:r w:rsidRPr="005D0775">
      <w:rPr>
        <w:sz w:val="18"/>
        <w:szCs w:val="18"/>
        <w:lang w:val="de-CH" w:eastAsia="en-US" w:bidi="ar-SA"/>
      </w:rPr>
      <w:fldChar w:fldCharType="begin"/>
    </w:r>
    <w:r w:rsidRPr="005D0775">
      <w:rPr>
        <w:sz w:val="18"/>
        <w:szCs w:val="18"/>
        <w:lang w:val="it-CH" w:eastAsia="en-US" w:bidi="ar-SA"/>
      </w:rPr>
      <w:instrText>NUMPAGES  \* Arabic  \* MERGEFORMAT</w:instrText>
    </w:r>
    <w:r w:rsidRPr="005D0775">
      <w:rPr>
        <w:sz w:val="18"/>
        <w:szCs w:val="18"/>
        <w:lang w:val="de-CH" w:eastAsia="en-US" w:bidi="ar-SA"/>
      </w:rPr>
      <w:fldChar w:fldCharType="separate"/>
    </w:r>
    <w:r w:rsidR="00C56629">
      <w:rPr>
        <w:noProof/>
        <w:sz w:val="18"/>
        <w:szCs w:val="18"/>
        <w:lang w:val="it-CH" w:eastAsia="en-US" w:bidi="ar-SA"/>
      </w:rPr>
      <w:t>3</w:t>
    </w:r>
    <w:r w:rsidRPr="005D0775">
      <w:rPr>
        <w:sz w:val="18"/>
        <w:szCs w:val="18"/>
        <w:lang w:val="de-CH" w:eastAsia="en-US" w:bidi="ar-SA"/>
      </w:rPr>
      <w:fldChar w:fldCharType="end"/>
    </w:r>
  </w:p>
  <w:p w14:paraId="30A4467E" w14:textId="2DCC0A93" w:rsidR="00515AEF" w:rsidRPr="00515AEF" w:rsidRDefault="00515AEF">
    <w:pPr>
      <w:pStyle w:val="Fuzeile"/>
      <w:rPr>
        <w:sz w:val="18"/>
        <w:szCs w:val="18"/>
      </w:rPr>
    </w:pPr>
  </w:p>
  <w:p w14:paraId="07BE856B" w14:textId="77777777" w:rsidR="00515AEF" w:rsidRPr="00515AEF" w:rsidRDefault="00515AE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CEF32" w14:textId="77777777" w:rsidR="003C30A1" w:rsidRDefault="003C30A1" w:rsidP="00A04616">
      <w:pPr>
        <w:spacing w:after="0" w:line="240" w:lineRule="auto"/>
      </w:pPr>
      <w:r>
        <w:separator/>
      </w:r>
    </w:p>
  </w:footnote>
  <w:footnote w:type="continuationSeparator" w:id="0">
    <w:p w14:paraId="2043DFA1" w14:textId="77777777" w:rsidR="003C30A1" w:rsidRDefault="003C30A1" w:rsidP="00A0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AEC5" w14:textId="77777777" w:rsidR="00EF68A6" w:rsidRDefault="00EF68A6">
    <w:pPr>
      <w:pStyle w:val="Kopfzeile"/>
      <w:jc w:val="right"/>
    </w:pPr>
  </w:p>
  <w:p w14:paraId="22207650" w14:textId="7C006A82" w:rsidR="00EF68A6" w:rsidRPr="00E5585B" w:rsidRDefault="00EF68A6">
    <w:pPr>
      <w:pStyle w:val="Kopfzeile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50D"/>
    <w:multiLevelType w:val="hybridMultilevel"/>
    <w:tmpl w:val="87B81EA6"/>
    <w:lvl w:ilvl="0" w:tplc="FF981100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423704"/>
    <w:multiLevelType w:val="hybridMultilevel"/>
    <w:tmpl w:val="B7A02982"/>
    <w:lvl w:ilvl="0" w:tplc="39E8D3B8">
      <w:numFmt w:val="bullet"/>
      <w:lvlText w:val="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947317D"/>
    <w:multiLevelType w:val="hybridMultilevel"/>
    <w:tmpl w:val="90A0CBE6"/>
    <w:lvl w:ilvl="0" w:tplc="EE90AB78">
      <w:numFmt w:val="bullet"/>
      <w:lvlText w:val="-"/>
      <w:lvlJc w:val="left"/>
      <w:pPr>
        <w:ind w:left="3480" w:hanging="360"/>
      </w:pPr>
      <w:rPr>
        <w:rFonts w:ascii="Arial" w:eastAsiaTheme="minorHAnsi" w:hAnsi="Arial" w:cs="Arial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" w15:restartNumberingAfterBreak="0">
    <w:nsid w:val="2A95404C"/>
    <w:multiLevelType w:val="hybridMultilevel"/>
    <w:tmpl w:val="4796A586"/>
    <w:lvl w:ilvl="0" w:tplc="976ED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C3349"/>
    <w:multiLevelType w:val="hybridMultilevel"/>
    <w:tmpl w:val="98104132"/>
    <w:lvl w:ilvl="0" w:tplc="82A68F0E">
      <w:numFmt w:val="bullet"/>
      <w:lvlText w:val="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4DE516CD"/>
    <w:multiLevelType w:val="hybridMultilevel"/>
    <w:tmpl w:val="82E86862"/>
    <w:lvl w:ilvl="0" w:tplc="2D20A24A">
      <w:start w:val="1"/>
      <w:numFmt w:val="decimal"/>
      <w:pStyle w:val="TextmitNummerierung"/>
      <w:lvlText w:val="%1"/>
      <w:lvlJc w:val="left"/>
      <w:pPr>
        <w:ind w:left="927" w:hanging="360"/>
      </w:pPr>
      <w:rPr>
        <w:rFonts w:hint="default"/>
        <w:vertAlign w:val="superscrip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665D"/>
    <w:multiLevelType w:val="hybridMultilevel"/>
    <w:tmpl w:val="F8904582"/>
    <w:lvl w:ilvl="0" w:tplc="17E296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F543D"/>
    <w:multiLevelType w:val="hybridMultilevel"/>
    <w:tmpl w:val="DEB09DD0"/>
    <w:lvl w:ilvl="0" w:tplc="A2EE1B68">
      <w:numFmt w:val="decimal"/>
      <w:lvlText w:val="%1"/>
      <w:lvlJc w:val="left"/>
      <w:pPr>
        <w:ind w:left="354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4200" w:hanging="360"/>
      </w:pPr>
    </w:lvl>
    <w:lvl w:ilvl="2" w:tplc="0807001B" w:tentative="1">
      <w:start w:val="1"/>
      <w:numFmt w:val="lowerRoman"/>
      <w:lvlText w:val="%3."/>
      <w:lvlJc w:val="right"/>
      <w:pPr>
        <w:ind w:left="4920" w:hanging="180"/>
      </w:pPr>
    </w:lvl>
    <w:lvl w:ilvl="3" w:tplc="0807000F" w:tentative="1">
      <w:start w:val="1"/>
      <w:numFmt w:val="decimal"/>
      <w:lvlText w:val="%4."/>
      <w:lvlJc w:val="left"/>
      <w:pPr>
        <w:ind w:left="5640" w:hanging="360"/>
      </w:pPr>
    </w:lvl>
    <w:lvl w:ilvl="4" w:tplc="08070019" w:tentative="1">
      <w:start w:val="1"/>
      <w:numFmt w:val="lowerLetter"/>
      <w:lvlText w:val="%5."/>
      <w:lvlJc w:val="left"/>
      <w:pPr>
        <w:ind w:left="6360" w:hanging="360"/>
      </w:pPr>
    </w:lvl>
    <w:lvl w:ilvl="5" w:tplc="0807001B" w:tentative="1">
      <w:start w:val="1"/>
      <w:numFmt w:val="lowerRoman"/>
      <w:lvlText w:val="%6."/>
      <w:lvlJc w:val="right"/>
      <w:pPr>
        <w:ind w:left="7080" w:hanging="180"/>
      </w:pPr>
    </w:lvl>
    <w:lvl w:ilvl="6" w:tplc="0807000F" w:tentative="1">
      <w:start w:val="1"/>
      <w:numFmt w:val="decimal"/>
      <w:lvlText w:val="%7."/>
      <w:lvlJc w:val="left"/>
      <w:pPr>
        <w:ind w:left="7800" w:hanging="360"/>
      </w:pPr>
    </w:lvl>
    <w:lvl w:ilvl="7" w:tplc="08070019" w:tentative="1">
      <w:start w:val="1"/>
      <w:numFmt w:val="lowerLetter"/>
      <w:lvlText w:val="%8."/>
      <w:lvlJc w:val="left"/>
      <w:pPr>
        <w:ind w:left="8520" w:hanging="360"/>
      </w:pPr>
    </w:lvl>
    <w:lvl w:ilvl="8" w:tplc="0807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oNotTrackFormatting/>
  <w:documentProtection w:edit="forms" w:enforcement="1" w:cryptProviderType="rsaAES" w:cryptAlgorithmClass="hash" w:cryptAlgorithmType="typeAny" w:cryptAlgorithmSid="14" w:cryptSpinCount="100000" w:hash="AilV+9vp6liscRkftz9j3YC0RU5mmI8OUqmK7MluLp1daHemGE77LmnP0PadsM52/9l45YVHpzY7a2IR7EE5wg==" w:salt="zFct2mZhGUot16nA1JFQuQ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FD"/>
    <w:rsid w:val="000200E2"/>
    <w:rsid w:val="00025805"/>
    <w:rsid w:val="00030D1A"/>
    <w:rsid w:val="0004069A"/>
    <w:rsid w:val="00043351"/>
    <w:rsid w:val="00052154"/>
    <w:rsid w:val="000552D5"/>
    <w:rsid w:val="00074B08"/>
    <w:rsid w:val="00084937"/>
    <w:rsid w:val="00094E2F"/>
    <w:rsid w:val="000A471F"/>
    <w:rsid w:val="000A5F49"/>
    <w:rsid w:val="000A6140"/>
    <w:rsid w:val="000B1F30"/>
    <w:rsid w:val="000B7922"/>
    <w:rsid w:val="000E2DCA"/>
    <w:rsid w:val="000F78FC"/>
    <w:rsid w:val="0010507E"/>
    <w:rsid w:val="0013784D"/>
    <w:rsid w:val="00140AD6"/>
    <w:rsid w:val="001558C0"/>
    <w:rsid w:val="001629F4"/>
    <w:rsid w:val="00164DF3"/>
    <w:rsid w:val="00174373"/>
    <w:rsid w:val="0018182E"/>
    <w:rsid w:val="00184AB8"/>
    <w:rsid w:val="0018589B"/>
    <w:rsid w:val="001921CB"/>
    <w:rsid w:val="00193F33"/>
    <w:rsid w:val="001B01D1"/>
    <w:rsid w:val="001B461D"/>
    <w:rsid w:val="001B5980"/>
    <w:rsid w:val="001D1947"/>
    <w:rsid w:val="001D7700"/>
    <w:rsid w:val="001F6D77"/>
    <w:rsid w:val="002050DF"/>
    <w:rsid w:val="00212235"/>
    <w:rsid w:val="00213CC1"/>
    <w:rsid w:val="002478C9"/>
    <w:rsid w:val="00266B78"/>
    <w:rsid w:val="002860A8"/>
    <w:rsid w:val="0028689D"/>
    <w:rsid w:val="00290C2E"/>
    <w:rsid w:val="0029401C"/>
    <w:rsid w:val="002A0910"/>
    <w:rsid w:val="002A27AF"/>
    <w:rsid w:val="002A6C99"/>
    <w:rsid w:val="002B21B2"/>
    <w:rsid w:val="002B7B01"/>
    <w:rsid w:val="002C0E42"/>
    <w:rsid w:val="002E32F7"/>
    <w:rsid w:val="002E39D4"/>
    <w:rsid w:val="002F07E9"/>
    <w:rsid w:val="002F28AD"/>
    <w:rsid w:val="00301AE1"/>
    <w:rsid w:val="003045F4"/>
    <w:rsid w:val="00304E0D"/>
    <w:rsid w:val="00314888"/>
    <w:rsid w:val="0032224C"/>
    <w:rsid w:val="003414B8"/>
    <w:rsid w:val="00342615"/>
    <w:rsid w:val="00346F28"/>
    <w:rsid w:val="003613FB"/>
    <w:rsid w:val="00364B87"/>
    <w:rsid w:val="00372465"/>
    <w:rsid w:val="00397B5C"/>
    <w:rsid w:val="003A2FCD"/>
    <w:rsid w:val="003B3778"/>
    <w:rsid w:val="003C30A1"/>
    <w:rsid w:val="003F7472"/>
    <w:rsid w:val="00444A4D"/>
    <w:rsid w:val="00446855"/>
    <w:rsid w:val="00461FD3"/>
    <w:rsid w:val="00470166"/>
    <w:rsid w:val="00473E74"/>
    <w:rsid w:val="00474E36"/>
    <w:rsid w:val="00490438"/>
    <w:rsid w:val="004972BD"/>
    <w:rsid w:val="004A03F3"/>
    <w:rsid w:val="004B03F4"/>
    <w:rsid w:val="004B0C83"/>
    <w:rsid w:val="004B1526"/>
    <w:rsid w:val="004B7956"/>
    <w:rsid w:val="004C296A"/>
    <w:rsid w:val="004C3E48"/>
    <w:rsid w:val="004C4246"/>
    <w:rsid w:val="004C64DE"/>
    <w:rsid w:val="004D7FD1"/>
    <w:rsid w:val="004E096A"/>
    <w:rsid w:val="004E19EA"/>
    <w:rsid w:val="004E5DAF"/>
    <w:rsid w:val="004F5AE2"/>
    <w:rsid w:val="00515AEF"/>
    <w:rsid w:val="00537690"/>
    <w:rsid w:val="00542956"/>
    <w:rsid w:val="00546984"/>
    <w:rsid w:val="0057339E"/>
    <w:rsid w:val="00573ACA"/>
    <w:rsid w:val="0059247D"/>
    <w:rsid w:val="005C05C3"/>
    <w:rsid w:val="005C3F64"/>
    <w:rsid w:val="005C5115"/>
    <w:rsid w:val="005C51F2"/>
    <w:rsid w:val="005D0CC8"/>
    <w:rsid w:val="005F24B8"/>
    <w:rsid w:val="005F7D05"/>
    <w:rsid w:val="00605002"/>
    <w:rsid w:val="00615021"/>
    <w:rsid w:val="00624173"/>
    <w:rsid w:val="0063291D"/>
    <w:rsid w:val="00635C1F"/>
    <w:rsid w:val="00644414"/>
    <w:rsid w:val="006521D2"/>
    <w:rsid w:val="00662585"/>
    <w:rsid w:val="006668AD"/>
    <w:rsid w:val="00667A9F"/>
    <w:rsid w:val="006867BA"/>
    <w:rsid w:val="00686F56"/>
    <w:rsid w:val="0069559F"/>
    <w:rsid w:val="006C25F4"/>
    <w:rsid w:val="006D3209"/>
    <w:rsid w:val="006D4224"/>
    <w:rsid w:val="006D422D"/>
    <w:rsid w:val="00703654"/>
    <w:rsid w:val="00707EE5"/>
    <w:rsid w:val="00721610"/>
    <w:rsid w:val="00723650"/>
    <w:rsid w:val="0072652B"/>
    <w:rsid w:val="00745BBA"/>
    <w:rsid w:val="0074758B"/>
    <w:rsid w:val="00750215"/>
    <w:rsid w:val="00762CBB"/>
    <w:rsid w:val="00787CA3"/>
    <w:rsid w:val="00793E5A"/>
    <w:rsid w:val="007A4D13"/>
    <w:rsid w:val="007C5696"/>
    <w:rsid w:val="007C769B"/>
    <w:rsid w:val="007D3740"/>
    <w:rsid w:val="007D5688"/>
    <w:rsid w:val="007D6446"/>
    <w:rsid w:val="007E3BA1"/>
    <w:rsid w:val="007E789F"/>
    <w:rsid w:val="007F0B48"/>
    <w:rsid w:val="00801701"/>
    <w:rsid w:val="008153D0"/>
    <w:rsid w:val="00825A82"/>
    <w:rsid w:val="00827079"/>
    <w:rsid w:val="00877E75"/>
    <w:rsid w:val="00883C32"/>
    <w:rsid w:val="0089004B"/>
    <w:rsid w:val="00891F45"/>
    <w:rsid w:val="008A19BA"/>
    <w:rsid w:val="008A6469"/>
    <w:rsid w:val="008B71C1"/>
    <w:rsid w:val="008C50FD"/>
    <w:rsid w:val="008E0F0C"/>
    <w:rsid w:val="008E53BE"/>
    <w:rsid w:val="008F37F7"/>
    <w:rsid w:val="008F46A8"/>
    <w:rsid w:val="008F561E"/>
    <w:rsid w:val="00903C4B"/>
    <w:rsid w:val="00904864"/>
    <w:rsid w:val="00913DF8"/>
    <w:rsid w:val="00917A35"/>
    <w:rsid w:val="00922B51"/>
    <w:rsid w:val="009273FC"/>
    <w:rsid w:val="00951E35"/>
    <w:rsid w:val="009605F3"/>
    <w:rsid w:val="00965B01"/>
    <w:rsid w:val="00984877"/>
    <w:rsid w:val="00987ADB"/>
    <w:rsid w:val="009B4C2C"/>
    <w:rsid w:val="009C0533"/>
    <w:rsid w:val="009C0F34"/>
    <w:rsid w:val="009D314A"/>
    <w:rsid w:val="009F388C"/>
    <w:rsid w:val="00A00288"/>
    <w:rsid w:val="00A04616"/>
    <w:rsid w:val="00A12CDD"/>
    <w:rsid w:val="00A13A5C"/>
    <w:rsid w:val="00A13C79"/>
    <w:rsid w:val="00A34ABD"/>
    <w:rsid w:val="00A637FA"/>
    <w:rsid w:val="00A86814"/>
    <w:rsid w:val="00AB2CD8"/>
    <w:rsid w:val="00AB7FA3"/>
    <w:rsid w:val="00AE0A0A"/>
    <w:rsid w:val="00AF30C1"/>
    <w:rsid w:val="00B07E6F"/>
    <w:rsid w:val="00B20821"/>
    <w:rsid w:val="00B4085B"/>
    <w:rsid w:val="00B732E0"/>
    <w:rsid w:val="00B74575"/>
    <w:rsid w:val="00B757EE"/>
    <w:rsid w:val="00B80A6E"/>
    <w:rsid w:val="00B929CA"/>
    <w:rsid w:val="00B9560E"/>
    <w:rsid w:val="00BA02A7"/>
    <w:rsid w:val="00BC686E"/>
    <w:rsid w:val="00BE2923"/>
    <w:rsid w:val="00BE5D9F"/>
    <w:rsid w:val="00BF0647"/>
    <w:rsid w:val="00BF108C"/>
    <w:rsid w:val="00BF36C1"/>
    <w:rsid w:val="00C0600E"/>
    <w:rsid w:val="00C1792B"/>
    <w:rsid w:val="00C2023E"/>
    <w:rsid w:val="00C30309"/>
    <w:rsid w:val="00C311F2"/>
    <w:rsid w:val="00C34F14"/>
    <w:rsid w:val="00C5209E"/>
    <w:rsid w:val="00C542FD"/>
    <w:rsid w:val="00C56629"/>
    <w:rsid w:val="00C663C8"/>
    <w:rsid w:val="00C66682"/>
    <w:rsid w:val="00C7446E"/>
    <w:rsid w:val="00C76869"/>
    <w:rsid w:val="00C901E7"/>
    <w:rsid w:val="00CB65B3"/>
    <w:rsid w:val="00CB7916"/>
    <w:rsid w:val="00CC0977"/>
    <w:rsid w:val="00CE0F06"/>
    <w:rsid w:val="00D03907"/>
    <w:rsid w:val="00D1629A"/>
    <w:rsid w:val="00D25C88"/>
    <w:rsid w:val="00D71DA8"/>
    <w:rsid w:val="00D71F22"/>
    <w:rsid w:val="00DA23E6"/>
    <w:rsid w:val="00DB04B6"/>
    <w:rsid w:val="00DB6C9B"/>
    <w:rsid w:val="00DD7019"/>
    <w:rsid w:val="00DE5459"/>
    <w:rsid w:val="00DF3E5E"/>
    <w:rsid w:val="00E078DC"/>
    <w:rsid w:val="00E22457"/>
    <w:rsid w:val="00E5585B"/>
    <w:rsid w:val="00E731E1"/>
    <w:rsid w:val="00E83A93"/>
    <w:rsid w:val="00E97189"/>
    <w:rsid w:val="00EA77C9"/>
    <w:rsid w:val="00EB627A"/>
    <w:rsid w:val="00EC3734"/>
    <w:rsid w:val="00ED2AA9"/>
    <w:rsid w:val="00EF68A6"/>
    <w:rsid w:val="00F075A8"/>
    <w:rsid w:val="00F1704D"/>
    <w:rsid w:val="00F4276F"/>
    <w:rsid w:val="00F57E23"/>
    <w:rsid w:val="00F70521"/>
    <w:rsid w:val="00F73728"/>
    <w:rsid w:val="00F74DC5"/>
    <w:rsid w:val="00FA6769"/>
    <w:rsid w:val="00FA791D"/>
    <w:rsid w:val="00FA7C28"/>
    <w:rsid w:val="00FB2403"/>
    <w:rsid w:val="00FE2CB4"/>
    <w:rsid w:val="00FE4280"/>
    <w:rsid w:val="00FE49D9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1143D1"/>
  <w15:chartTrackingRefBased/>
  <w15:docId w15:val="{0FF06506-4DA3-4455-A5E9-236A60BD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8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4616"/>
  </w:style>
  <w:style w:type="paragraph" w:styleId="Fuzeile">
    <w:name w:val="footer"/>
    <w:basedOn w:val="Standard"/>
    <w:link w:val="FuzeileZchn"/>
    <w:uiPriority w:val="99"/>
    <w:unhideWhenUsed/>
    <w:rsid w:val="00A0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4616"/>
  </w:style>
  <w:style w:type="character" w:styleId="Hyperlink">
    <w:name w:val="Hyperlink"/>
    <w:basedOn w:val="Absatz-Standardschriftart"/>
    <w:uiPriority w:val="99"/>
    <w:unhideWhenUsed/>
    <w:rsid w:val="00A04616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5D0CC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FA3"/>
    <w:rPr>
      <w:rFonts w:ascii="Segoe UI" w:hAnsi="Segoe UI" w:cs="Segoe UI"/>
      <w:sz w:val="18"/>
      <w:szCs w:val="18"/>
    </w:rPr>
  </w:style>
  <w:style w:type="character" w:customStyle="1" w:styleId="st">
    <w:name w:val="st"/>
    <w:basedOn w:val="Absatz-Standardschriftart"/>
    <w:rsid w:val="00D1629A"/>
  </w:style>
  <w:style w:type="paragraph" w:customStyle="1" w:styleId="TextmitNummerierung">
    <w:name w:val="Text mit Nummerierung"/>
    <w:basedOn w:val="Standard"/>
    <w:link w:val="TextmitNummerierungZchn"/>
    <w:qFormat/>
    <w:rsid w:val="005C5115"/>
    <w:pPr>
      <w:numPr>
        <w:numId w:val="1"/>
      </w:numPr>
      <w:tabs>
        <w:tab w:val="left" w:pos="992"/>
      </w:tabs>
      <w:spacing w:after="8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mitNummerierungZchn">
    <w:name w:val="Text mit Nummerierung Zchn"/>
    <w:link w:val="TextmitNummerierung"/>
    <w:rsid w:val="005C5115"/>
    <w:rPr>
      <w:rFonts w:ascii="Arial" w:eastAsia="Times New Roman" w:hAnsi="Arial" w:cs="Arial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64441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378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78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78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78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784D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B598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D0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39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d@fiduciarisuisse.ch" TargetMode="External"/><Relationship Id="rId1" Type="http://schemas.openxmlformats.org/officeDocument/2006/relationships/hyperlink" Target="http://www.oad-fiduciarisuiss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9562B-8F4B-4A44-AF12-2F64C22701D0}"/>
      </w:docPartPr>
      <w:docPartBody>
        <w:p w:rsidR="00F511A5" w:rsidRDefault="00730303">
          <w:r w:rsidRPr="002D00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03"/>
    <w:rsid w:val="00730303"/>
    <w:rsid w:val="00F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03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6576-49B7-4BB5-BE68-36863B47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Roth</dc:creator>
  <cp:keywords/>
  <dc:description/>
  <cp:lastModifiedBy>Riccarda Stäger</cp:lastModifiedBy>
  <cp:revision>6</cp:revision>
  <cp:lastPrinted>2021-12-13T14:52:00Z</cp:lastPrinted>
  <dcterms:created xsi:type="dcterms:W3CDTF">2021-12-06T15:00:00Z</dcterms:created>
  <dcterms:modified xsi:type="dcterms:W3CDTF">2021-12-13T15:03:00Z</dcterms:modified>
</cp:coreProperties>
</file>