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946EAB" w:rsidRDefault="00C542FD">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73EF2" w14:textId="5677E078" w:rsidR="000561E4" w:rsidRPr="00946EAB" w:rsidRDefault="0037254C" w:rsidP="000561E4">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Tenue de dossiers clients LBA</w:t>
      </w:r>
    </w:p>
    <w:p w14:paraId="4FEB4385" w14:textId="6E6676F9" w:rsidR="009F64E3" w:rsidRPr="00946EAB" w:rsidRDefault="00BE46E5" w:rsidP="000561E4">
      <w:pPr>
        <w:tabs>
          <w:tab w:val="left" w:pos="2835"/>
        </w:tabs>
        <w:overflowPunct w:val="0"/>
        <w:autoSpaceDE w:val="0"/>
        <w:autoSpaceDN w:val="0"/>
        <w:adjustRightInd w:val="0"/>
        <w:spacing w:after="0" w:line="240" w:lineRule="auto"/>
        <w:ind w:right="-142"/>
        <w:textAlignment w:val="baseline"/>
        <w:rPr>
          <w:rFonts w:ascii="Arial" w:hAnsi="Arial" w:cs="Arial"/>
          <w:bCs/>
          <w:sz w:val="20"/>
          <w:szCs w:val="20"/>
        </w:rPr>
      </w:pPr>
      <w:r>
        <w:rPr>
          <w:rFonts w:ascii="Arial" w:hAnsi="Arial"/>
          <w:sz w:val="20"/>
        </w:rPr>
        <w:t>Valable dès le 1.1.2016</w:t>
      </w:r>
    </w:p>
    <w:p w14:paraId="6F588C29" w14:textId="77777777" w:rsidR="000561E4" w:rsidRPr="00946EAB" w:rsidRDefault="000561E4" w:rsidP="000561E4">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71BBF30C" w14:textId="3D2AFEDF" w:rsidR="000561E4" w:rsidRPr="00946EAB" w:rsidRDefault="000561E4" w:rsidP="00281065">
      <w:pPr>
        <w:shd w:val="clear" w:color="auto" w:fill="D9D9D9" w:themeFill="background1" w:themeFillShade="D9"/>
        <w:overflowPunct w:val="0"/>
        <w:autoSpaceDE w:val="0"/>
        <w:autoSpaceDN w:val="0"/>
        <w:adjustRightInd w:val="0"/>
        <w:spacing w:line="240" w:lineRule="auto"/>
        <w:ind w:right="-199"/>
        <w:jc w:val="both"/>
        <w:textAlignment w:val="baseline"/>
        <w:rPr>
          <w:rFonts w:ascii="Arial" w:eastAsia="Times New Roman" w:hAnsi="Arial" w:cs="Arial"/>
          <w:b/>
          <w:sz w:val="20"/>
          <w:szCs w:val="20"/>
        </w:rPr>
      </w:pPr>
      <w:r>
        <w:rPr>
          <w:rFonts w:ascii="Arial" w:hAnsi="Arial"/>
          <w:b/>
          <w:sz w:val="20"/>
        </w:rPr>
        <w:t>Obligation de tenue de dossiers clients LBA</w:t>
      </w:r>
    </w:p>
    <w:p w14:paraId="09CE31AB" w14:textId="608CA48C" w:rsidR="0037254C" w:rsidRPr="00946EAB" w:rsidRDefault="0037254C"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Les intermédiaires financiers doivent établir les documents et pièces justificatives relatifs à leurs relations avec les cocontractants et aux transactions effectuées, de manière à ce qu’un tiers expert (en particu</w:t>
      </w:r>
      <w:r w:rsidR="00152233">
        <w:rPr>
          <w:rFonts w:ascii="Arial" w:hAnsi="Arial"/>
          <w:sz w:val="20"/>
        </w:rPr>
        <w:t>lier l’OAR, ses organes de contr</w:t>
      </w:r>
      <w:r>
        <w:rPr>
          <w:rFonts w:ascii="Arial" w:hAnsi="Arial"/>
          <w:sz w:val="20"/>
        </w:rPr>
        <w:t>ôle, et la FINMA) puisse se faire une image fiable du respect du présent règlement OAR et de la Loi sur le blanchiment d’argent ainsi que des dispositions d’exécution par l’intermédiaire financier (art. 6.1.1 Règlement OAR).</w:t>
      </w:r>
    </w:p>
    <w:p w14:paraId="189BE8BC" w14:textId="79F3A20F" w:rsidR="000561E4" w:rsidRPr="00946EAB" w:rsidRDefault="0037254C"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Les documents et pièces justificatives doivent être établis et conservés de telle sorte que l’intermédiaire financier puisse satisfaire aux demandes d’informations ou de séquestre des autorités de poursuite pénale dans le délai imparti. Les documents et pièces justificatives doivent permettre de reconstituer les transactions individuelles (art. 6.1.2 Règlement OAR).</w:t>
      </w:r>
    </w:p>
    <w:p w14:paraId="5A016BCB" w14:textId="202C3591" w:rsidR="00DD7019" w:rsidRPr="00946EAB" w:rsidRDefault="000561E4" w:rsidP="00281065">
      <w:pPr>
        <w:overflowPunct w:val="0"/>
        <w:autoSpaceDE w:val="0"/>
        <w:autoSpaceDN w:val="0"/>
        <w:adjustRightInd w:val="0"/>
        <w:spacing w:line="240" w:lineRule="auto"/>
        <w:ind w:right="-199"/>
        <w:jc w:val="both"/>
        <w:textAlignment w:val="baseline"/>
        <w:rPr>
          <w:rFonts w:ascii="Arial" w:eastAsia="Times New Roman" w:hAnsi="Arial" w:cs="Arial"/>
          <w:sz w:val="20"/>
          <w:szCs w:val="20"/>
        </w:rPr>
      </w:pPr>
      <w:r>
        <w:rPr>
          <w:rFonts w:ascii="Arial" w:hAnsi="Arial"/>
          <w:sz w:val="20"/>
        </w:rPr>
        <w:t>Les dispositions légales en vigueur et le Règlement OAR sont déterminants pour la tenue du dossier. Le respect des différentes obligations doit être documenté par écrit.</w:t>
      </w:r>
    </w:p>
    <w:p w14:paraId="20E82413" w14:textId="1FE34145" w:rsidR="008F37F7" w:rsidRPr="00946EAB" w:rsidRDefault="001F7225" w:rsidP="00281065">
      <w:pPr>
        <w:shd w:val="clear" w:color="auto" w:fill="D9D9D9" w:themeFill="background1" w:themeFillShade="D9"/>
        <w:overflowPunct w:val="0"/>
        <w:autoSpaceDE w:val="0"/>
        <w:autoSpaceDN w:val="0"/>
        <w:adjustRightInd w:val="0"/>
        <w:spacing w:line="240" w:lineRule="auto"/>
        <w:ind w:right="-199"/>
        <w:jc w:val="both"/>
        <w:textAlignment w:val="baseline"/>
        <w:rPr>
          <w:rStyle w:val="st"/>
          <w:rFonts w:ascii="Arial" w:eastAsia="Times New Roman" w:hAnsi="Arial" w:cs="Arial"/>
          <w:b/>
          <w:sz w:val="20"/>
          <w:szCs w:val="20"/>
        </w:rPr>
      </w:pPr>
      <w:r>
        <w:rPr>
          <w:rFonts w:ascii="Arial" w:hAnsi="Arial"/>
          <w:b/>
          <w:sz w:val="20"/>
        </w:rPr>
        <w:t>Vérification de l’identité du cocontractant</w:t>
      </w:r>
    </w:p>
    <w:p w14:paraId="3DC7323E" w14:textId="3091CAA8" w:rsidR="00C46BF1" w:rsidRPr="00946EAB" w:rsidRDefault="00C46BF1"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Lors de l’établissement d’une relation d’affaires, l’intermédiaire financier vérifie l’identité du cocontractant (ch. 3.1, al. 1, Règlement OAR).</w:t>
      </w:r>
    </w:p>
    <w:p w14:paraId="14DBC006" w14:textId="6FD5D18F" w:rsidR="00AB6E9C" w:rsidRPr="00946EAB" w:rsidRDefault="001F7225"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L’identité du cocontractant peut être vérifiée à l’aide du formulaire «Vérification de l’identité». Le Règlement OAR ainsi que les dispositions légales en vigueur doivent être respectées.</w:t>
      </w:r>
    </w:p>
    <w:p w14:paraId="5EEFF90F" w14:textId="1C7872AE" w:rsidR="00806554" w:rsidRPr="00946EAB" w:rsidRDefault="00AB6E9C"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L’intermédiaire financier doit clarifier les catégories de risque selon l’art. 5.1, al. 2, Règlement OAR, notamment l’arrière-plan économique et le but d’une transaction ou d’une relation d’affaires pour les cas suivants:</w:t>
      </w:r>
    </w:p>
    <w:p w14:paraId="44B5D6D4" w14:textId="0F9F48D2" w:rsidR="00AB6E9C" w:rsidRPr="00946EAB" w:rsidRDefault="00AB6E9C" w:rsidP="00281065">
      <w:pPr>
        <w:pStyle w:val="KeinLeerraum"/>
        <w:numPr>
          <w:ilvl w:val="0"/>
          <w:numId w:val="11"/>
        </w:numPr>
        <w:tabs>
          <w:tab w:val="left" w:pos="5670"/>
        </w:tabs>
        <w:spacing w:after="160"/>
        <w:ind w:left="714" w:hanging="357"/>
        <w:contextualSpacing/>
        <w:jc w:val="both"/>
        <w:rPr>
          <w:rStyle w:val="st"/>
          <w:rFonts w:ascii="Arial" w:hAnsi="Arial" w:cs="Arial"/>
          <w:sz w:val="20"/>
          <w:szCs w:val="20"/>
        </w:rPr>
      </w:pPr>
      <w:r>
        <w:rPr>
          <w:rStyle w:val="st"/>
          <w:rFonts w:ascii="Arial" w:hAnsi="Arial"/>
          <w:sz w:val="20"/>
        </w:rPr>
        <w:t>une relation d’affaires présentant un risque accru au sens du ch. 5.2 Règlement OAR;</w:t>
      </w:r>
    </w:p>
    <w:p w14:paraId="47F20F6C" w14:textId="7B66F452" w:rsidR="00AB6E9C" w:rsidRPr="00946EAB" w:rsidRDefault="00AB6E9C" w:rsidP="00281065">
      <w:pPr>
        <w:pStyle w:val="KeinLeerraum"/>
        <w:numPr>
          <w:ilvl w:val="0"/>
          <w:numId w:val="11"/>
        </w:numPr>
        <w:tabs>
          <w:tab w:val="left" w:pos="5670"/>
        </w:tabs>
        <w:spacing w:after="160"/>
        <w:ind w:left="714" w:hanging="357"/>
        <w:contextualSpacing/>
        <w:jc w:val="both"/>
        <w:rPr>
          <w:rStyle w:val="st"/>
          <w:rFonts w:ascii="Arial" w:hAnsi="Arial" w:cs="Arial"/>
          <w:sz w:val="20"/>
          <w:szCs w:val="20"/>
        </w:rPr>
      </w:pPr>
      <w:r>
        <w:rPr>
          <w:rStyle w:val="st"/>
          <w:rFonts w:ascii="Arial" w:hAnsi="Arial"/>
          <w:sz w:val="20"/>
        </w:rPr>
        <w:t>une transaction présentant un risque accru au sens du ch. 5.3 Règlement OAR;</w:t>
      </w:r>
    </w:p>
    <w:p w14:paraId="5770A106" w14:textId="6CE72488" w:rsidR="00AB6E9C" w:rsidRPr="00946EAB" w:rsidRDefault="00AB6E9C" w:rsidP="00281065">
      <w:pPr>
        <w:pStyle w:val="KeinLeerraum"/>
        <w:numPr>
          <w:ilvl w:val="0"/>
          <w:numId w:val="11"/>
        </w:numPr>
        <w:tabs>
          <w:tab w:val="left" w:pos="5670"/>
        </w:tabs>
        <w:spacing w:after="160"/>
        <w:ind w:left="714" w:hanging="357"/>
        <w:jc w:val="both"/>
        <w:rPr>
          <w:rStyle w:val="st"/>
          <w:rFonts w:ascii="Arial" w:hAnsi="Arial" w:cs="Arial"/>
          <w:sz w:val="20"/>
          <w:szCs w:val="20"/>
        </w:rPr>
      </w:pPr>
      <w:r>
        <w:rPr>
          <w:rStyle w:val="st"/>
          <w:rFonts w:ascii="Arial" w:hAnsi="Arial"/>
          <w:sz w:val="20"/>
        </w:rPr>
        <w:t>un autre cas qui exige des clarifications particulières conformément à l’art. 6 LBA.</w:t>
      </w:r>
    </w:p>
    <w:p w14:paraId="2075C962" w14:textId="5D16192D" w:rsidR="00806554" w:rsidRPr="00946EAB" w:rsidRDefault="00AB6E9C"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L’étendue de l’obligation de clarification est définie selon le ch. 5.3.3 Règlement OAR.</w:t>
      </w:r>
    </w:p>
    <w:p w14:paraId="5C27C5F8" w14:textId="4417A5D2" w:rsidR="00C46BF1" w:rsidRPr="00946EAB" w:rsidRDefault="00806554"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Lorsque l’intermédiaire financier établit qu’une déclaration antérieure ne correspond plus à la réalité économique, ou que des doutes relatifs à l’identité du cocontractant, du détenteur du contrôle ou de l’ayant droit économique surviennent au cours de la relation d’affaires, l’intermédiaire financier doit exiger du cocontractant le renouvellement de la vérification de l’identité ou de l’identification du détenteur du contrôle ou de l’ayant droit économique. Lorsque le cocontractant refuse de renouveler la vérification de l’identité ou l’identification du détenteur du contrôle ou de l’ayant droit économique sans motif valable, l’intermédiaire financier rompt la relation d’affaires existante. Par ailleurs, les dispositions du ch. 4.6 Règlement OAR s’appliquent.</w:t>
      </w:r>
    </w:p>
    <w:p w14:paraId="32544713" w14:textId="33E7AA05" w:rsidR="00C46BF1" w:rsidRPr="00946EAB" w:rsidRDefault="00806554" w:rsidP="00281065">
      <w:pPr>
        <w:pStyle w:val="KeinLeerraum"/>
        <w:tabs>
          <w:tab w:val="left" w:pos="5670"/>
        </w:tabs>
        <w:spacing w:after="160"/>
        <w:jc w:val="both"/>
        <w:rPr>
          <w:rStyle w:val="st"/>
          <w:rFonts w:ascii="Arial" w:hAnsi="Arial" w:cs="Arial"/>
          <w:sz w:val="20"/>
          <w:szCs w:val="20"/>
        </w:rPr>
      </w:pPr>
      <w:r>
        <w:rPr>
          <w:rStyle w:val="st"/>
          <w:rFonts w:ascii="Arial" w:hAnsi="Arial"/>
          <w:sz w:val="20"/>
        </w:rPr>
        <w:t>En cas de recours à un tiers lors de l’exécution des obligations de diligence pour la vérification de l’identité du cocontractant, l’identification de l’ayant ou des ayants droit économique(s), l’identification du détenteur du contrôle, le renouvellement de la vérification de l’identité ou de l’identification de l’ayant ou des ayants droit économique(s), ainsi que l’exécution des clarifications particulières, les dispositions selon le ch. 6.2 Règlement OAR doivent être respectées en sus.</w:t>
      </w:r>
    </w:p>
    <w:p w14:paraId="597263AC" w14:textId="1893C84E" w:rsidR="008B3CF1" w:rsidRPr="00946EAB" w:rsidRDefault="008B3CF1" w:rsidP="00281065">
      <w:pPr>
        <w:pStyle w:val="KeinLeerraum"/>
        <w:tabs>
          <w:tab w:val="left" w:pos="5670"/>
        </w:tabs>
        <w:spacing w:after="160"/>
        <w:jc w:val="both"/>
        <w:rPr>
          <w:rStyle w:val="st"/>
          <w:rFonts w:ascii="Arial" w:hAnsi="Arial" w:cs="Arial"/>
          <w:sz w:val="20"/>
          <w:szCs w:val="20"/>
        </w:rPr>
      </w:pPr>
    </w:p>
    <w:p w14:paraId="787819E5" w14:textId="5FDF0DB8" w:rsidR="008B3CF1" w:rsidRPr="00946EAB" w:rsidRDefault="008B3CF1" w:rsidP="00281065">
      <w:pPr>
        <w:pStyle w:val="KeinLeerraum"/>
        <w:tabs>
          <w:tab w:val="left" w:pos="5670"/>
        </w:tabs>
        <w:spacing w:after="160"/>
        <w:jc w:val="both"/>
        <w:rPr>
          <w:rStyle w:val="st"/>
          <w:rFonts w:ascii="Arial" w:hAnsi="Arial" w:cs="Arial"/>
          <w:sz w:val="20"/>
          <w:szCs w:val="20"/>
        </w:rPr>
      </w:pPr>
    </w:p>
    <w:p w14:paraId="0B1E29E2" w14:textId="424BF154" w:rsidR="008B3CF1" w:rsidRPr="00946EAB" w:rsidRDefault="008B3CF1" w:rsidP="00281065">
      <w:pPr>
        <w:pStyle w:val="KeinLeerraum"/>
        <w:tabs>
          <w:tab w:val="left" w:pos="5670"/>
        </w:tabs>
        <w:spacing w:after="160"/>
        <w:jc w:val="both"/>
        <w:rPr>
          <w:rStyle w:val="st"/>
          <w:rFonts w:ascii="Arial" w:hAnsi="Arial" w:cs="Arial"/>
          <w:sz w:val="20"/>
          <w:szCs w:val="20"/>
        </w:rPr>
      </w:pPr>
    </w:p>
    <w:p w14:paraId="7675EC91" w14:textId="651ED4E0" w:rsidR="008B3CF1" w:rsidRPr="00946EAB" w:rsidRDefault="008B3CF1" w:rsidP="00281065">
      <w:pPr>
        <w:pStyle w:val="KeinLeerraum"/>
        <w:tabs>
          <w:tab w:val="left" w:pos="5670"/>
        </w:tabs>
        <w:spacing w:after="160"/>
        <w:jc w:val="both"/>
        <w:rPr>
          <w:rStyle w:val="st"/>
          <w:rFonts w:ascii="Arial" w:hAnsi="Arial" w:cs="Arial"/>
          <w:sz w:val="20"/>
          <w:szCs w:val="20"/>
        </w:rPr>
      </w:pPr>
    </w:p>
    <w:p w14:paraId="6AD971E9" w14:textId="2908054F" w:rsidR="008B3CF1" w:rsidRPr="00946EAB" w:rsidRDefault="008B3CF1" w:rsidP="00281065">
      <w:pPr>
        <w:pStyle w:val="KeinLeerraum"/>
        <w:tabs>
          <w:tab w:val="left" w:pos="5670"/>
        </w:tabs>
        <w:spacing w:after="160"/>
        <w:jc w:val="both"/>
        <w:rPr>
          <w:rStyle w:val="st"/>
          <w:rFonts w:ascii="Arial" w:hAnsi="Arial" w:cs="Arial"/>
          <w:sz w:val="20"/>
          <w:szCs w:val="20"/>
        </w:rPr>
      </w:pPr>
    </w:p>
    <w:p w14:paraId="33C077F3" w14:textId="100E9955" w:rsidR="005F460E" w:rsidRDefault="005F460E">
      <w:pPr>
        <w:rPr>
          <w:rFonts w:ascii="Arial" w:hAnsi="Arial" w:cs="Arial"/>
          <w:sz w:val="20"/>
          <w:szCs w:val="20"/>
        </w:rPr>
      </w:pPr>
      <w:r>
        <w:rPr>
          <w:rFonts w:ascii="Arial" w:hAnsi="Arial" w:cs="Arial"/>
          <w:sz w:val="20"/>
          <w:szCs w:val="20"/>
        </w:rPr>
        <w:br w:type="page"/>
      </w:r>
    </w:p>
    <w:p w14:paraId="1B1D0BE0" w14:textId="77777777" w:rsidR="008B3CF1" w:rsidRPr="00946EAB" w:rsidRDefault="008B3CF1" w:rsidP="00281065">
      <w:pPr>
        <w:pStyle w:val="KeinLeerraum"/>
        <w:tabs>
          <w:tab w:val="left" w:pos="5670"/>
        </w:tabs>
        <w:spacing w:after="160"/>
        <w:jc w:val="both"/>
        <w:rPr>
          <w:rFonts w:ascii="Arial" w:hAnsi="Arial" w:cs="Arial"/>
          <w:sz w:val="20"/>
          <w:szCs w:val="20"/>
        </w:rPr>
      </w:pPr>
    </w:p>
    <w:p w14:paraId="10909BB7" w14:textId="662C7799" w:rsidR="00C46BF1" w:rsidRPr="00946EAB" w:rsidRDefault="00C46BF1" w:rsidP="00281065">
      <w:pPr>
        <w:shd w:val="clear" w:color="auto" w:fill="D9D9D9" w:themeFill="background1" w:themeFillShade="D9"/>
        <w:overflowPunct w:val="0"/>
        <w:autoSpaceDE w:val="0"/>
        <w:autoSpaceDN w:val="0"/>
        <w:adjustRightInd w:val="0"/>
        <w:spacing w:line="240" w:lineRule="auto"/>
        <w:ind w:right="-199"/>
        <w:jc w:val="both"/>
        <w:textAlignment w:val="baseline"/>
        <w:rPr>
          <w:rStyle w:val="st"/>
          <w:rFonts w:ascii="Arial" w:eastAsia="Times New Roman" w:hAnsi="Arial" w:cs="Arial"/>
          <w:b/>
          <w:sz w:val="20"/>
          <w:szCs w:val="20"/>
        </w:rPr>
      </w:pPr>
      <w:r>
        <w:rPr>
          <w:rFonts w:ascii="Arial" w:hAnsi="Arial"/>
          <w:b/>
          <w:sz w:val="20"/>
        </w:rPr>
        <w:t>Conservation des documents</w:t>
      </w:r>
    </w:p>
    <w:p w14:paraId="2FF38074" w14:textId="77777777" w:rsidR="00ED0929" w:rsidRDefault="00ED0929" w:rsidP="006C20AB">
      <w:pPr>
        <w:pStyle w:val="KeinLeerraum"/>
      </w:pPr>
    </w:p>
    <w:p w14:paraId="612954E6" w14:textId="06601ADF" w:rsidR="00C46BF1" w:rsidRPr="00946EAB" w:rsidRDefault="00C46BF1" w:rsidP="00281065">
      <w:pPr>
        <w:pStyle w:val="KeinLeerraum"/>
        <w:tabs>
          <w:tab w:val="left" w:pos="5670"/>
        </w:tabs>
        <w:spacing w:after="160"/>
        <w:jc w:val="both"/>
        <w:rPr>
          <w:rStyle w:val="st"/>
          <w:rFonts w:ascii="Arial" w:eastAsia="Times New Roman" w:hAnsi="Arial" w:cs="Arial"/>
          <w:sz w:val="20"/>
          <w:szCs w:val="20"/>
        </w:rPr>
      </w:pPr>
      <w:r>
        <w:rPr>
          <w:rFonts w:ascii="Arial" w:hAnsi="Arial"/>
          <w:sz w:val="20"/>
        </w:rPr>
        <w:t>Les obligations de conversation des documents selon le ch. 6.1.2 Règlement OAR doivent être respectées.</w:t>
      </w:r>
    </w:p>
    <w:p w14:paraId="6A2F5925" w14:textId="1859AF7F" w:rsidR="005E53E5" w:rsidRPr="00946EAB" w:rsidRDefault="00C46BF1" w:rsidP="00281065">
      <w:pPr>
        <w:pStyle w:val="KeinLeerraum"/>
        <w:tabs>
          <w:tab w:val="left" w:pos="5670"/>
        </w:tabs>
        <w:spacing w:after="160"/>
        <w:jc w:val="both"/>
        <w:rPr>
          <w:rFonts w:ascii="Arial" w:eastAsia="Times New Roman" w:hAnsi="Arial" w:cs="Arial"/>
          <w:sz w:val="20"/>
          <w:szCs w:val="20"/>
        </w:rPr>
      </w:pPr>
      <w:r>
        <w:rPr>
          <w:rStyle w:val="st"/>
          <w:rFonts w:ascii="Arial" w:hAnsi="Arial"/>
          <w:sz w:val="20"/>
        </w:rPr>
        <w:t>Les documents et pièces justificatives doivent être conservés en Suisse en un lieu sûr et accessible en tout temps. La durée de conservation est de dix ans après la conclusion d’une transaction. Le délai court dès la date de la transaction. En cas de rupture de la relation d’affaires, les documents servant à la vérification de l’identité du cocontractant ou leur copie doivent être conservés dix ans après la résiliation des rapports contractuels (</w:t>
      </w:r>
      <w:r>
        <w:rPr>
          <w:rFonts w:ascii="Arial" w:hAnsi="Arial"/>
          <w:sz w:val="20"/>
        </w:rPr>
        <w:t xml:space="preserve">ch. 6.1.2, al. 2, Règlement OAR). </w:t>
      </w:r>
    </w:p>
    <w:p w14:paraId="43AE6744" w14:textId="778A26B3" w:rsidR="008B3CF1" w:rsidRPr="00946EAB" w:rsidRDefault="008B3CF1" w:rsidP="00281065">
      <w:pPr>
        <w:pStyle w:val="KeinLeerraum"/>
        <w:tabs>
          <w:tab w:val="left" w:pos="5670"/>
        </w:tabs>
        <w:spacing w:after="160"/>
        <w:jc w:val="both"/>
        <w:rPr>
          <w:rFonts w:ascii="Arial" w:eastAsia="Times New Roman" w:hAnsi="Arial" w:cs="Arial"/>
          <w:sz w:val="20"/>
          <w:szCs w:val="20"/>
        </w:rPr>
      </w:pPr>
    </w:p>
    <w:p w14:paraId="09FB9A6A" w14:textId="43E8C4B2" w:rsidR="008B3CF1" w:rsidRPr="00946EAB" w:rsidRDefault="00152233" w:rsidP="00281065">
      <w:pPr>
        <w:pStyle w:val="KeinLeerraum"/>
        <w:tabs>
          <w:tab w:val="left" w:pos="5670"/>
        </w:tabs>
        <w:spacing w:after="160"/>
        <w:jc w:val="both"/>
        <w:rPr>
          <w:rFonts w:ascii="Arial" w:eastAsia="Times New Roman" w:hAnsi="Arial" w:cs="Arial"/>
          <w:sz w:val="20"/>
          <w:szCs w:val="20"/>
        </w:rPr>
      </w:pPr>
      <w:r>
        <w:rPr>
          <w:rFonts w:ascii="Arial" w:hAnsi="Arial"/>
          <w:sz w:val="20"/>
        </w:rPr>
        <w:t xml:space="preserve">Commission OAR, le 3 </w:t>
      </w:r>
      <w:bookmarkStart w:id="0" w:name="_GoBack"/>
      <w:bookmarkEnd w:id="0"/>
      <w:r w:rsidR="008B3CF1">
        <w:rPr>
          <w:rFonts w:ascii="Arial" w:hAnsi="Arial"/>
          <w:sz w:val="20"/>
        </w:rPr>
        <w:t>mai 2017</w:t>
      </w:r>
    </w:p>
    <w:p w14:paraId="689C1F49" w14:textId="2676495E" w:rsidR="008B3CF1" w:rsidRPr="00946EAB" w:rsidRDefault="008B3CF1" w:rsidP="00281065">
      <w:pPr>
        <w:pStyle w:val="KeinLeerraum"/>
        <w:tabs>
          <w:tab w:val="left" w:pos="5670"/>
        </w:tabs>
        <w:spacing w:after="160"/>
        <w:jc w:val="both"/>
        <w:rPr>
          <w:rFonts w:ascii="Arial" w:eastAsia="Times New Roman" w:hAnsi="Arial" w:cs="Arial"/>
          <w:sz w:val="20"/>
          <w:szCs w:val="20"/>
        </w:rPr>
      </w:pPr>
    </w:p>
    <w:p w14:paraId="22E966D4" w14:textId="77777777" w:rsidR="008B3CF1" w:rsidRPr="00946EAB" w:rsidRDefault="008B3CF1" w:rsidP="00281065">
      <w:pPr>
        <w:pStyle w:val="KeinLeerraum"/>
        <w:tabs>
          <w:tab w:val="left" w:pos="5670"/>
        </w:tabs>
        <w:spacing w:after="160"/>
        <w:jc w:val="both"/>
        <w:rPr>
          <w:rStyle w:val="st"/>
          <w:rFonts w:ascii="Arial" w:hAnsi="Arial" w:cs="Arial"/>
          <w:sz w:val="20"/>
          <w:szCs w:val="20"/>
        </w:rPr>
      </w:pPr>
    </w:p>
    <w:p w14:paraId="5890DA55" w14:textId="104E63DD" w:rsidR="00ED0929" w:rsidRDefault="00ED0929" w:rsidP="005E53E5">
      <w:pPr>
        <w:jc w:val="right"/>
      </w:pPr>
    </w:p>
    <w:p w14:paraId="58C01835" w14:textId="61869B93" w:rsidR="00ED0929" w:rsidRPr="00ED0929" w:rsidRDefault="005F460E" w:rsidP="005F460E">
      <w:pPr>
        <w:tabs>
          <w:tab w:val="left" w:pos="3735"/>
        </w:tabs>
      </w:pPr>
      <w:r>
        <w:tab/>
      </w:r>
    </w:p>
    <w:p w14:paraId="7341DF3F" w14:textId="77777777" w:rsidR="00ED0929" w:rsidRPr="00ED0929" w:rsidRDefault="00ED0929" w:rsidP="00ED0929"/>
    <w:p w14:paraId="463640AD" w14:textId="77777777" w:rsidR="00ED0929" w:rsidRPr="00ED0929" w:rsidRDefault="00ED0929" w:rsidP="00ED0929"/>
    <w:p w14:paraId="250F5B6B" w14:textId="77777777" w:rsidR="00ED0929" w:rsidRPr="00ED0929" w:rsidRDefault="00ED0929" w:rsidP="00ED0929"/>
    <w:p w14:paraId="2A59BFB2" w14:textId="6E7CD7C5" w:rsidR="00ED0929" w:rsidRDefault="00ED0929" w:rsidP="00ED0929"/>
    <w:p w14:paraId="466E9E25" w14:textId="7384DA3C" w:rsidR="00806554" w:rsidRPr="00ED0929" w:rsidRDefault="00ED0929" w:rsidP="00ED0929">
      <w:pPr>
        <w:tabs>
          <w:tab w:val="left" w:pos="6045"/>
        </w:tabs>
      </w:pPr>
      <w:r>
        <w:tab/>
      </w:r>
    </w:p>
    <w:sectPr w:rsidR="00806554" w:rsidRPr="00ED0929" w:rsidSect="00ED0929">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91CF" w14:textId="77777777" w:rsidR="005D7A4D" w:rsidRDefault="005D7A4D" w:rsidP="00A04616">
      <w:pPr>
        <w:spacing w:after="0" w:line="240" w:lineRule="auto"/>
      </w:pPr>
      <w:r>
        <w:separator/>
      </w:r>
    </w:p>
  </w:endnote>
  <w:endnote w:type="continuationSeparator" w:id="0">
    <w:p w14:paraId="09AA3F16" w14:textId="77777777" w:rsidR="005D7A4D" w:rsidRDefault="005D7A4D"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8A8" w14:textId="182CE1B8" w:rsidR="00ED0929" w:rsidRPr="008966F3" w:rsidRDefault="00ED0929" w:rsidP="00ED0929">
    <w:pPr>
      <w:pStyle w:val="Fuzeile"/>
      <w:rPr>
        <w:sz w:val="18"/>
        <w:szCs w:val="18"/>
      </w:rPr>
    </w:pPr>
    <w:r>
      <w:rPr>
        <w:rFonts w:cs="Arial"/>
        <w:sz w:val="18"/>
        <w:szCs w:val="18"/>
      </w:rPr>
      <w:t>Dossiers clients LBA</w:t>
    </w:r>
    <w:r w:rsidRPr="008966F3">
      <w:rPr>
        <w:sz w:val="18"/>
        <w:szCs w:val="18"/>
      </w:rPr>
      <w:t xml:space="preserve"> </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152233" w:rsidRPr="00152233">
      <w:rPr>
        <w:bCs/>
        <w:noProof/>
        <w:sz w:val="18"/>
        <w:szCs w:val="18"/>
        <w:lang w:val="fr-CH"/>
      </w:rPr>
      <w:t>2</w:t>
    </w:r>
    <w:r w:rsidRPr="00452E81">
      <w:rPr>
        <w:bCs/>
        <w:sz w:val="18"/>
        <w:szCs w:val="18"/>
      </w:rPr>
      <w:fldChar w:fldCharType="end"/>
    </w:r>
    <w:r w:rsidRPr="003C4363">
      <w:rPr>
        <w:sz w:val="18"/>
        <w:szCs w:val="18"/>
        <w:lang w:val="fr-CH"/>
      </w:rPr>
      <w:t xml:space="preserve"> </w:t>
    </w:r>
    <w:r>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152233" w:rsidRPr="00152233">
      <w:rPr>
        <w:bCs/>
        <w:noProof/>
        <w:sz w:val="18"/>
        <w:szCs w:val="18"/>
        <w:lang w:val="fr-CH"/>
      </w:rPr>
      <w:t>2</w:t>
    </w:r>
    <w:r w:rsidRPr="00452E81">
      <w:rPr>
        <w:bCs/>
        <w:sz w:val="18"/>
        <w:szCs w:val="18"/>
      </w:rPr>
      <w:fldChar w:fldCharType="end"/>
    </w:r>
  </w:p>
  <w:p w14:paraId="258DDA31" w14:textId="77777777" w:rsidR="00ED0929" w:rsidRPr="008966F3" w:rsidRDefault="00ED0929" w:rsidP="00ED0929">
    <w:pPr>
      <w:pStyle w:val="Fuzeile"/>
      <w:jc w:val="center"/>
      <w:rPr>
        <w:sz w:val="18"/>
        <w:szCs w:val="18"/>
      </w:rPr>
    </w:pPr>
    <w:r w:rsidRPr="008966F3">
      <w:rPr>
        <w:sz w:val="18"/>
        <w:szCs w:val="18"/>
      </w:rPr>
      <w:t>Tel: 380 64 80 Fax: 031 380 64 31</w:t>
    </w:r>
  </w:p>
  <w:p w14:paraId="4DF85661" w14:textId="77777777" w:rsidR="00ED0929" w:rsidRPr="00C311F2" w:rsidRDefault="00152233" w:rsidP="00ED0929">
    <w:pPr>
      <w:pStyle w:val="Fuzeile"/>
      <w:jc w:val="center"/>
      <w:rPr>
        <w:b/>
        <w:bCs/>
        <w:sz w:val="16"/>
        <w:szCs w:val="16"/>
      </w:rPr>
    </w:pPr>
    <w:hyperlink r:id="rId1" w:history="1">
      <w:r w:rsidR="00ED0929" w:rsidRPr="00002BE7">
        <w:rPr>
          <w:rStyle w:val="Hyperlink"/>
          <w:sz w:val="18"/>
          <w:szCs w:val="18"/>
        </w:rPr>
        <w:t>www.oar-fiduciairesuisse.ch</w:t>
      </w:r>
    </w:hyperlink>
    <w:r w:rsidR="00ED0929" w:rsidRPr="008966F3">
      <w:rPr>
        <w:sz w:val="18"/>
        <w:szCs w:val="18"/>
      </w:rPr>
      <w:t xml:space="preserve"> / </w:t>
    </w:r>
    <w:hyperlink r:id="rId2" w:history="1">
      <w:r w:rsidR="00ED0929" w:rsidRPr="00002BE7">
        <w:rPr>
          <w:rStyle w:val="Hyperlink"/>
          <w:sz w:val="18"/>
          <w:szCs w:val="18"/>
        </w:rPr>
        <w:t>oar@fiduciairesuisse.ch</w:t>
      </w:r>
    </w:hyperlink>
  </w:p>
  <w:p w14:paraId="4B169324" w14:textId="77777777" w:rsidR="00ED0929" w:rsidRPr="00DB6CF6" w:rsidRDefault="00ED0929" w:rsidP="00ED0929">
    <w:pPr>
      <w:spacing w:after="0" w:line="240" w:lineRule="auto"/>
      <w:rPr>
        <w:sz w:val="18"/>
        <w:szCs w:val="18"/>
      </w:rPr>
    </w:pPr>
  </w:p>
  <w:p w14:paraId="4F30102B" w14:textId="74342D41" w:rsidR="00A04616" w:rsidRPr="00ED0929" w:rsidRDefault="00A04616" w:rsidP="00ED09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D00A" w14:textId="02B9EA7B" w:rsidR="00ED0929" w:rsidRPr="006F7822" w:rsidRDefault="005F460E" w:rsidP="00ED0929">
    <w:pPr>
      <w:pStyle w:val="Fuzeile"/>
      <w:rPr>
        <w:rFonts w:cs="Arial"/>
        <w:bCs/>
        <w:sz w:val="18"/>
        <w:szCs w:val="18"/>
      </w:rPr>
    </w:pPr>
    <w:r>
      <w:rPr>
        <w:rFonts w:cs="Arial"/>
        <w:sz w:val="18"/>
        <w:szCs w:val="18"/>
      </w:rPr>
      <w:t>Dossiers clients LBA</w:t>
    </w:r>
    <w:r w:rsidR="00ED0929" w:rsidRPr="006F7822">
      <w:rPr>
        <w:rFonts w:cs="Arial"/>
        <w:sz w:val="18"/>
        <w:szCs w:val="18"/>
      </w:rPr>
      <w:tab/>
    </w:r>
    <w:r w:rsidR="00ED0929" w:rsidRPr="006F7822">
      <w:rPr>
        <w:rFonts w:cs="Arial"/>
        <w:sz w:val="18"/>
        <w:szCs w:val="18"/>
      </w:rPr>
      <w:tab/>
    </w:r>
    <w:r w:rsidR="00ED0929" w:rsidRPr="003C4363">
      <w:rPr>
        <w:rFonts w:cs="Arial"/>
        <w:sz w:val="18"/>
        <w:szCs w:val="18"/>
        <w:lang w:val="fr-CH"/>
      </w:rPr>
      <w:t xml:space="preserve">Page </w:t>
    </w:r>
    <w:r w:rsidR="00ED0929" w:rsidRPr="006F7822">
      <w:rPr>
        <w:rFonts w:cs="Arial"/>
        <w:bCs/>
        <w:sz w:val="18"/>
        <w:szCs w:val="18"/>
      </w:rPr>
      <w:fldChar w:fldCharType="begin"/>
    </w:r>
    <w:r w:rsidR="00ED0929" w:rsidRPr="006F7822">
      <w:rPr>
        <w:rFonts w:cs="Arial"/>
        <w:bCs/>
        <w:sz w:val="18"/>
        <w:szCs w:val="18"/>
      </w:rPr>
      <w:instrText>PAGE  \* Arabic  \* MERGEFORMAT</w:instrText>
    </w:r>
    <w:r w:rsidR="00ED0929" w:rsidRPr="006F7822">
      <w:rPr>
        <w:rFonts w:cs="Arial"/>
        <w:bCs/>
        <w:sz w:val="18"/>
        <w:szCs w:val="18"/>
      </w:rPr>
      <w:fldChar w:fldCharType="separate"/>
    </w:r>
    <w:r w:rsidR="00152233" w:rsidRPr="00152233">
      <w:rPr>
        <w:rFonts w:cs="Arial"/>
        <w:bCs/>
        <w:noProof/>
        <w:sz w:val="18"/>
        <w:szCs w:val="18"/>
        <w:lang w:val="fr-CH"/>
      </w:rPr>
      <w:t>1</w:t>
    </w:r>
    <w:r w:rsidR="00ED0929" w:rsidRPr="006F7822">
      <w:rPr>
        <w:rFonts w:cs="Arial"/>
        <w:bCs/>
        <w:sz w:val="18"/>
        <w:szCs w:val="18"/>
      </w:rPr>
      <w:fldChar w:fldCharType="end"/>
    </w:r>
    <w:r w:rsidR="00ED0929" w:rsidRPr="003C4363">
      <w:rPr>
        <w:rFonts w:cs="Arial"/>
        <w:sz w:val="18"/>
        <w:szCs w:val="18"/>
        <w:lang w:val="fr-CH"/>
      </w:rPr>
      <w:t xml:space="preserve"> </w:t>
    </w:r>
    <w:r w:rsidR="00ED0929">
      <w:rPr>
        <w:rFonts w:cs="Arial"/>
        <w:sz w:val="18"/>
        <w:szCs w:val="18"/>
        <w:lang w:val="fr-CH"/>
      </w:rPr>
      <w:t>sur</w:t>
    </w:r>
    <w:r w:rsidR="00ED0929" w:rsidRPr="003C4363">
      <w:rPr>
        <w:rFonts w:cs="Arial"/>
        <w:sz w:val="18"/>
        <w:szCs w:val="18"/>
        <w:lang w:val="fr-CH"/>
      </w:rPr>
      <w:t xml:space="preserve"> </w:t>
    </w:r>
    <w:r w:rsidR="00ED0929" w:rsidRPr="006F7822">
      <w:rPr>
        <w:rFonts w:cs="Arial"/>
        <w:bCs/>
        <w:sz w:val="18"/>
        <w:szCs w:val="18"/>
      </w:rPr>
      <w:fldChar w:fldCharType="begin"/>
    </w:r>
    <w:r w:rsidR="00ED0929" w:rsidRPr="006F7822">
      <w:rPr>
        <w:rFonts w:cs="Arial"/>
        <w:bCs/>
        <w:sz w:val="18"/>
        <w:szCs w:val="18"/>
      </w:rPr>
      <w:instrText>NUMPAGES  \* Arabic  \* MERGEFORMAT</w:instrText>
    </w:r>
    <w:r w:rsidR="00ED0929" w:rsidRPr="006F7822">
      <w:rPr>
        <w:rFonts w:cs="Arial"/>
        <w:bCs/>
        <w:sz w:val="18"/>
        <w:szCs w:val="18"/>
      </w:rPr>
      <w:fldChar w:fldCharType="separate"/>
    </w:r>
    <w:r w:rsidR="00152233" w:rsidRPr="00152233">
      <w:rPr>
        <w:rFonts w:cs="Arial"/>
        <w:bCs/>
        <w:noProof/>
        <w:sz w:val="18"/>
        <w:szCs w:val="18"/>
        <w:lang w:val="fr-CH"/>
      </w:rPr>
      <w:t>2</w:t>
    </w:r>
    <w:r w:rsidR="00ED0929" w:rsidRPr="006F7822">
      <w:rPr>
        <w:rFonts w:cs="Arial"/>
        <w:bCs/>
        <w:sz w:val="18"/>
        <w:szCs w:val="18"/>
      </w:rPr>
      <w:fldChar w:fldCharType="end"/>
    </w:r>
  </w:p>
  <w:p w14:paraId="6BEEE9B2" w14:textId="77777777" w:rsidR="00ED0929" w:rsidRPr="00DB6CF6" w:rsidRDefault="00ED0929" w:rsidP="00ED0929">
    <w:pPr>
      <w:pStyle w:val="Fuzeile"/>
      <w:rPr>
        <w:sz w:val="18"/>
        <w:szCs w:val="18"/>
      </w:rPr>
    </w:pPr>
  </w:p>
  <w:p w14:paraId="4FE682FC" w14:textId="77777777" w:rsidR="00ED0929" w:rsidRPr="00ED0929" w:rsidRDefault="00ED092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B8F8" w14:textId="77777777" w:rsidR="005D7A4D" w:rsidRDefault="005D7A4D" w:rsidP="00A04616">
      <w:pPr>
        <w:spacing w:after="0" w:line="240" w:lineRule="auto"/>
      </w:pPr>
      <w:r>
        <w:separator/>
      </w:r>
    </w:p>
  </w:footnote>
  <w:footnote w:type="continuationSeparator" w:id="0">
    <w:p w14:paraId="2ACD22E6" w14:textId="77777777" w:rsidR="005D7A4D" w:rsidRDefault="005D7A4D"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6BD5D7E"/>
    <w:multiLevelType w:val="hybridMultilevel"/>
    <w:tmpl w:val="5AE8F5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readOnly" w:enforcement="1" w:cryptProviderType="rsaAES" w:cryptAlgorithmClass="hash" w:cryptAlgorithmType="typeAny" w:cryptAlgorithmSid="14" w:cryptSpinCount="100000" w:hash="au274129HYMoAlT1I5Fn6fCPKl3AabWCTOzdcf0IKVoTcJbvONpJTxhiU/xu4/a/TEUX/zP+FkHdJU6VNJ78pw==" w:salt="Yzm4e0D3pR/gYagJeAHq5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21D"/>
    <w:rsid w:val="00030D1A"/>
    <w:rsid w:val="00043351"/>
    <w:rsid w:val="00051A71"/>
    <w:rsid w:val="000561E4"/>
    <w:rsid w:val="00084937"/>
    <w:rsid w:val="0010507E"/>
    <w:rsid w:val="0013784D"/>
    <w:rsid w:val="00152233"/>
    <w:rsid w:val="001629F4"/>
    <w:rsid w:val="00164DF3"/>
    <w:rsid w:val="00174373"/>
    <w:rsid w:val="0018182E"/>
    <w:rsid w:val="00184AB8"/>
    <w:rsid w:val="00193F33"/>
    <w:rsid w:val="001B01D1"/>
    <w:rsid w:val="001B5980"/>
    <w:rsid w:val="001D1947"/>
    <w:rsid w:val="001F7225"/>
    <w:rsid w:val="002478C9"/>
    <w:rsid w:val="00266B78"/>
    <w:rsid w:val="00281065"/>
    <w:rsid w:val="002860A8"/>
    <w:rsid w:val="002B21B2"/>
    <w:rsid w:val="002E32F7"/>
    <w:rsid w:val="00301AE1"/>
    <w:rsid w:val="003045F4"/>
    <w:rsid w:val="00314888"/>
    <w:rsid w:val="003414B8"/>
    <w:rsid w:val="00342615"/>
    <w:rsid w:val="00346F28"/>
    <w:rsid w:val="00364B87"/>
    <w:rsid w:val="00372465"/>
    <w:rsid w:val="0037254C"/>
    <w:rsid w:val="003B3778"/>
    <w:rsid w:val="00461FD3"/>
    <w:rsid w:val="00465C41"/>
    <w:rsid w:val="00473E74"/>
    <w:rsid w:val="00474E36"/>
    <w:rsid w:val="004B7956"/>
    <w:rsid w:val="004E096A"/>
    <w:rsid w:val="004F5AE2"/>
    <w:rsid w:val="00522DFD"/>
    <w:rsid w:val="005261E5"/>
    <w:rsid w:val="00527F27"/>
    <w:rsid w:val="00542956"/>
    <w:rsid w:val="005C05C3"/>
    <w:rsid w:val="005C5115"/>
    <w:rsid w:val="005D0CC8"/>
    <w:rsid w:val="005D7A4D"/>
    <w:rsid w:val="005E53E5"/>
    <w:rsid w:val="005F460E"/>
    <w:rsid w:val="005F62E8"/>
    <w:rsid w:val="005F7D05"/>
    <w:rsid w:val="00615021"/>
    <w:rsid w:val="0063291D"/>
    <w:rsid w:val="00644414"/>
    <w:rsid w:val="006521D2"/>
    <w:rsid w:val="00662585"/>
    <w:rsid w:val="006867BA"/>
    <w:rsid w:val="00690088"/>
    <w:rsid w:val="006C20AB"/>
    <w:rsid w:val="006D422D"/>
    <w:rsid w:val="00707EE5"/>
    <w:rsid w:val="0074758B"/>
    <w:rsid w:val="00790C33"/>
    <w:rsid w:val="00793E5A"/>
    <w:rsid w:val="007A4D13"/>
    <w:rsid w:val="007D521B"/>
    <w:rsid w:val="007E1AF0"/>
    <w:rsid w:val="00801701"/>
    <w:rsid w:val="00802F7A"/>
    <w:rsid w:val="00806554"/>
    <w:rsid w:val="00825A82"/>
    <w:rsid w:val="008A19BA"/>
    <w:rsid w:val="008A2B0B"/>
    <w:rsid w:val="008B3CF1"/>
    <w:rsid w:val="008B71C1"/>
    <w:rsid w:val="008C50FD"/>
    <w:rsid w:val="008C664E"/>
    <w:rsid w:val="008F37F7"/>
    <w:rsid w:val="00926A88"/>
    <w:rsid w:val="009273FC"/>
    <w:rsid w:val="00946EAB"/>
    <w:rsid w:val="0095159A"/>
    <w:rsid w:val="00987ADB"/>
    <w:rsid w:val="009C0F34"/>
    <w:rsid w:val="009F388C"/>
    <w:rsid w:val="009F64E3"/>
    <w:rsid w:val="00A04616"/>
    <w:rsid w:val="00A12CDD"/>
    <w:rsid w:val="00A13A5C"/>
    <w:rsid w:val="00A13C79"/>
    <w:rsid w:val="00A41932"/>
    <w:rsid w:val="00A637FA"/>
    <w:rsid w:val="00A74189"/>
    <w:rsid w:val="00AB6E9C"/>
    <w:rsid w:val="00AB7FA3"/>
    <w:rsid w:val="00AF30C1"/>
    <w:rsid w:val="00B4085B"/>
    <w:rsid w:val="00B80A6E"/>
    <w:rsid w:val="00B842B9"/>
    <w:rsid w:val="00B929CA"/>
    <w:rsid w:val="00BA02A7"/>
    <w:rsid w:val="00BE46E5"/>
    <w:rsid w:val="00BF0647"/>
    <w:rsid w:val="00BF108C"/>
    <w:rsid w:val="00BF2F7D"/>
    <w:rsid w:val="00BF36C1"/>
    <w:rsid w:val="00C2023E"/>
    <w:rsid w:val="00C311F2"/>
    <w:rsid w:val="00C46BF1"/>
    <w:rsid w:val="00C51874"/>
    <w:rsid w:val="00C5209E"/>
    <w:rsid w:val="00C542FD"/>
    <w:rsid w:val="00C663C8"/>
    <w:rsid w:val="00C7446E"/>
    <w:rsid w:val="00D1629A"/>
    <w:rsid w:val="00D71DA8"/>
    <w:rsid w:val="00DB6C9B"/>
    <w:rsid w:val="00DD7019"/>
    <w:rsid w:val="00E731E1"/>
    <w:rsid w:val="00EB627A"/>
    <w:rsid w:val="00EC10FC"/>
    <w:rsid w:val="00EC3734"/>
    <w:rsid w:val="00ED0929"/>
    <w:rsid w:val="00F075A8"/>
    <w:rsid w:val="00F70521"/>
    <w:rsid w:val="00F73D75"/>
    <w:rsid w:val="00F830D5"/>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6990">
      <w:bodyDiv w:val="1"/>
      <w:marLeft w:val="0"/>
      <w:marRight w:val="0"/>
      <w:marTop w:val="0"/>
      <w:marBottom w:val="0"/>
      <w:divBdr>
        <w:top w:val="none" w:sz="0" w:space="0" w:color="auto"/>
        <w:left w:val="none" w:sz="0" w:space="0" w:color="auto"/>
        <w:bottom w:val="none" w:sz="0" w:space="0" w:color="auto"/>
        <w:right w:val="none" w:sz="0" w:space="0" w:color="auto"/>
      </w:divBdr>
      <w:divsChild>
        <w:div w:id="346559841">
          <w:marLeft w:val="0"/>
          <w:marRight w:val="0"/>
          <w:marTop w:val="0"/>
          <w:marBottom w:val="0"/>
          <w:divBdr>
            <w:top w:val="none" w:sz="0" w:space="0" w:color="auto"/>
            <w:left w:val="none" w:sz="0" w:space="0" w:color="auto"/>
            <w:bottom w:val="none" w:sz="0" w:space="0" w:color="auto"/>
            <w:right w:val="none" w:sz="0" w:space="0" w:color="auto"/>
          </w:divBdr>
          <w:divsChild>
            <w:div w:id="1615209823">
              <w:marLeft w:val="0"/>
              <w:marRight w:val="0"/>
              <w:marTop w:val="0"/>
              <w:marBottom w:val="0"/>
              <w:divBdr>
                <w:top w:val="none" w:sz="0" w:space="0" w:color="auto"/>
                <w:left w:val="none" w:sz="0" w:space="0" w:color="auto"/>
                <w:bottom w:val="none" w:sz="0" w:space="0" w:color="auto"/>
                <w:right w:val="none" w:sz="0" w:space="0" w:color="auto"/>
              </w:divBdr>
            </w:div>
            <w:div w:id="1215385116">
              <w:marLeft w:val="0"/>
              <w:marRight w:val="0"/>
              <w:marTop w:val="0"/>
              <w:marBottom w:val="0"/>
              <w:divBdr>
                <w:top w:val="none" w:sz="0" w:space="0" w:color="auto"/>
                <w:left w:val="none" w:sz="0" w:space="0" w:color="auto"/>
                <w:bottom w:val="none" w:sz="0" w:space="0" w:color="auto"/>
                <w:right w:val="none" w:sz="0" w:space="0" w:color="auto"/>
              </w:divBdr>
            </w:div>
            <w:div w:id="419524796">
              <w:marLeft w:val="0"/>
              <w:marRight w:val="0"/>
              <w:marTop w:val="0"/>
              <w:marBottom w:val="0"/>
              <w:divBdr>
                <w:top w:val="none" w:sz="0" w:space="0" w:color="auto"/>
                <w:left w:val="none" w:sz="0" w:space="0" w:color="auto"/>
                <w:bottom w:val="none" w:sz="0" w:space="0" w:color="auto"/>
                <w:right w:val="none" w:sz="0" w:space="0" w:color="auto"/>
              </w:divBdr>
            </w:div>
            <w:div w:id="20515067">
              <w:marLeft w:val="0"/>
              <w:marRight w:val="0"/>
              <w:marTop w:val="0"/>
              <w:marBottom w:val="0"/>
              <w:divBdr>
                <w:top w:val="none" w:sz="0" w:space="0" w:color="auto"/>
                <w:left w:val="none" w:sz="0" w:space="0" w:color="auto"/>
                <w:bottom w:val="none" w:sz="0" w:space="0" w:color="auto"/>
                <w:right w:val="none" w:sz="0" w:space="0" w:color="auto"/>
              </w:divBdr>
            </w:div>
            <w:div w:id="149371387">
              <w:marLeft w:val="0"/>
              <w:marRight w:val="0"/>
              <w:marTop w:val="0"/>
              <w:marBottom w:val="0"/>
              <w:divBdr>
                <w:top w:val="none" w:sz="0" w:space="0" w:color="auto"/>
                <w:left w:val="none" w:sz="0" w:space="0" w:color="auto"/>
                <w:bottom w:val="none" w:sz="0" w:space="0" w:color="auto"/>
                <w:right w:val="none" w:sz="0" w:space="0" w:color="auto"/>
              </w:divBdr>
            </w:div>
            <w:div w:id="1850293806">
              <w:marLeft w:val="0"/>
              <w:marRight w:val="0"/>
              <w:marTop w:val="0"/>
              <w:marBottom w:val="0"/>
              <w:divBdr>
                <w:top w:val="none" w:sz="0" w:space="0" w:color="auto"/>
                <w:left w:val="none" w:sz="0" w:space="0" w:color="auto"/>
                <w:bottom w:val="none" w:sz="0" w:space="0" w:color="auto"/>
                <w:right w:val="none" w:sz="0" w:space="0" w:color="auto"/>
              </w:divBdr>
            </w:div>
            <w:div w:id="1942060618">
              <w:marLeft w:val="0"/>
              <w:marRight w:val="0"/>
              <w:marTop w:val="0"/>
              <w:marBottom w:val="0"/>
              <w:divBdr>
                <w:top w:val="none" w:sz="0" w:space="0" w:color="auto"/>
                <w:left w:val="none" w:sz="0" w:space="0" w:color="auto"/>
                <w:bottom w:val="none" w:sz="0" w:space="0" w:color="auto"/>
                <w:right w:val="none" w:sz="0" w:space="0" w:color="auto"/>
              </w:divBdr>
            </w:div>
            <w:div w:id="370502049">
              <w:marLeft w:val="0"/>
              <w:marRight w:val="0"/>
              <w:marTop w:val="0"/>
              <w:marBottom w:val="0"/>
              <w:divBdr>
                <w:top w:val="none" w:sz="0" w:space="0" w:color="auto"/>
                <w:left w:val="none" w:sz="0" w:space="0" w:color="auto"/>
                <w:bottom w:val="none" w:sz="0" w:space="0" w:color="auto"/>
                <w:right w:val="none" w:sz="0" w:space="0" w:color="auto"/>
              </w:divBdr>
            </w:div>
            <w:div w:id="1908564388">
              <w:marLeft w:val="0"/>
              <w:marRight w:val="0"/>
              <w:marTop w:val="0"/>
              <w:marBottom w:val="0"/>
              <w:divBdr>
                <w:top w:val="none" w:sz="0" w:space="0" w:color="auto"/>
                <w:left w:val="none" w:sz="0" w:space="0" w:color="auto"/>
                <w:bottom w:val="none" w:sz="0" w:space="0" w:color="auto"/>
                <w:right w:val="none" w:sz="0" w:space="0" w:color="auto"/>
              </w:divBdr>
            </w:div>
            <w:div w:id="1671054837">
              <w:marLeft w:val="0"/>
              <w:marRight w:val="0"/>
              <w:marTop w:val="0"/>
              <w:marBottom w:val="0"/>
              <w:divBdr>
                <w:top w:val="none" w:sz="0" w:space="0" w:color="auto"/>
                <w:left w:val="none" w:sz="0" w:space="0" w:color="auto"/>
                <w:bottom w:val="none" w:sz="0" w:space="0" w:color="auto"/>
                <w:right w:val="none" w:sz="0" w:space="0" w:color="auto"/>
              </w:divBdr>
            </w:div>
            <w:div w:id="1562251135">
              <w:marLeft w:val="0"/>
              <w:marRight w:val="0"/>
              <w:marTop w:val="0"/>
              <w:marBottom w:val="0"/>
              <w:divBdr>
                <w:top w:val="none" w:sz="0" w:space="0" w:color="auto"/>
                <w:left w:val="none" w:sz="0" w:space="0" w:color="auto"/>
                <w:bottom w:val="none" w:sz="0" w:space="0" w:color="auto"/>
                <w:right w:val="none" w:sz="0" w:space="0" w:color="auto"/>
              </w:divBdr>
            </w:div>
            <w:div w:id="128741867">
              <w:marLeft w:val="0"/>
              <w:marRight w:val="0"/>
              <w:marTop w:val="0"/>
              <w:marBottom w:val="0"/>
              <w:divBdr>
                <w:top w:val="none" w:sz="0" w:space="0" w:color="auto"/>
                <w:left w:val="none" w:sz="0" w:space="0" w:color="auto"/>
                <w:bottom w:val="none" w:sz="0" w:space="0" w:color="auto"/>
                <w:right w:val="none" w:sz="0" w:space="0" w:color="auto"/>
              </w:divBdr>
            </w:div>
            <w:div w:id="18706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A6A8-64A8-4D51-AC7D-17D59AE4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29</cp:revision>
  <cp:lastPrinted>2017-06-19T12:55:00Z</cp:lastPrinted>
  <dcterms:created xsi:type="dcterms:W3CDTF">2017-04-18T08:45:00Z</dcterms:created>
  <dcterms:modified xsi:type="dcterms:W3CDTF">2023-04-04T09:49:00Z</dcterms:modified>
</cp:coreProperties>
</file>